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黑体" w:eastAsia="方正小标宋简体" w:cs="宋体"/>
          <w:kern w:val="0"/>
          <w:sz w:val="36"/>
          <w:szCs w:val="36"/>
        </w:rPr>
      </w:pPr>
    </w:p>
    <w:p>
      <w:pPr>
        <w:widowControl/>
        <w:spacing w:line="560" w:lineRule="exact"/>
        <w:jc w:val="center"/>
        <w:rPr>
          <w:rFonts w:hint="eastAsia" w:ascii="方正小标宋简体" w:hAnsi="黑体" w:eastAsia="方正小标宋简体" w:cs="宋体"/>
          <w:kern w:val="0"/>
          <w:sz w:val="36"/>
          <w:szCs w:val="36"/>
          <w:lang w:eastAsia="zh-CN"/>
        </w:rPr>
      </w:pPr>
      <w:r>
        <w:rPr>
          <w:rFonts w:hint="eastAsia" w:ascii="方正小标宋简体" w:hAnsi="黑体" w:eastAsia="方正小标宋简体" w:cs="宋体"/>
          <w:kern w:val="0"/>
          <w:sz w:val="36"/>
          <w:szCs w:val="36"/>
        </w:rPr>
        <w:t>汕头职业技术学院往来款项管理办法</w:t>
      </w:r>
      <w:r>
        <w:rPr>
          <w:rFonts w:hint="eastAsia" w:ascii="方正小标宋简体" w:hAnsi="黑体" w:eastAsia="方正小标宋简体" w:cs="宋体"/>
          <w:kern w:val="0"/>
          <w:sz w:val="36"/>
          <w:szCs w:val="36"/>
          <w:lang w:eastAsia="zh-CN"/>
        </w:rPr>
        <w:t>（</w:t>
      </w:r>
      <w:r>
        <w:rPr>
          <w:rFonts w:hint="eastAsia" w:ascii="方正小标宋简体" w:hAnsi="黑体" w:eastAsia="方正小标宋简体" w:cs="宋体"/>
          <w:kern w:val="0"/>
          <w:sz w:val="36"/>
          <w:szCs w:val="36"/>
          <w:lang w:val="en-US" w:eastAsia="zh-CN"/>
        </w:rPr>
        <w:t>试行</w:t>
      </w:r>
      <w:r>
        <w:rPr>
          <w:rFonts w:hint="eastAsia" w:ascii="方正小标宋简体" w:hAnsi="黑体" w:eastAsia="方正小标宋简体" w:cs="宋体"/>
          <w:kern w:val="0"/>
          <w:sz w:val="36"/>
          <w:szCs w:val="36"/>
          <w:lang w:eastAsia="zh-CN"/>
        </w:rPr>
        <w:t>）</w:t>
      </w:r>
    </w:p>
    <w:p>
      <w:pPr>
        <w:widowControl/>
        <w:spacing w:line="560" w:lineRule="exact"/>
        <w:jc w:val="center"/>
        <w:rPr>
          <w:rFonts w:ascii="方正小标宋简体" w:hAnsi="黑体" w:eastAsia="方正小标宋简体" w:cs="宋体"/>
          <w:kern w:val="0"/>
          <w:sz w:val="36"/>
          <w:szCs w:val="36"/>
        </w:rPr>
      </w:pPr>
      <w:bookmarkStart w:id="0" w:name="_GoBack"/>
      <w:bookmarkEnd w:id="0"/>
    </w:p>
    <w:p>
      <w:pPr>
        <w:widowControl/>
        <w:shd w:val="clear" w:color="auto" w:fill="FFFFFF"/>
        <w:spacing w:line="560" w:lineRule="exact"/>
        <w:jc w:val="center"/>
        <w:rPr>
          <w:rFonts w:ascii="黑体" w:hAnsi="黑体" w:eastAsia="黑体" w:cs="宋体"/>
          <w:kern w:val="0"/>
          <w:sz w:val="32"/>
          <w:szCs w:val="32"/>
        </w:rPr>
      </w:pPr>
      <w:r>
        <w:rPr>
          <w:rFonts w:ascii="黑体" w:hAnsi="黑体" w:eastAsia="黑体" w:cs="宋体"/>
          <w:kern w:val="0"/>
          <w:sz w:val="32"/>
          <w:szCs w:val="32"/>
        </w:rPr>
        <w:t xml:space="preserve">第一章 </w:t>
      </w:r>
      <w:r>
        <w:rPr>
          <w:rFonts w:hint="eastAsia" w:ascii="黑体" w:hAnsi="黑体" w:eastAsia="黑体" w:cs="宋体"/>
          <w:kern w:val="0"/>
          <w:sz w:val="32"/>
          <w:szCs w:val="32"/>
        </w:rPr>
        <w:t xml:space="preserve"> </w:t>
      </w:r>
      <w:r>
        <w:rPr>
          <w:rFonts w:ascii="黑体" w:hAnsi="黑体" w:eastAsia="黑体" w:cs="宋体"/>
          <w:kern w:val="0"/>
          <w:sz w:val="32"/>
          <w:szCs w:val="32"/>
        </w:rPr>
        <w:t>总 则</w:t>
      </w:r>
    </w:p>
    <w:p>
      <w:pPr>
        <w:widowControl/>
        <w:shd w:val="clear" w:color="auto" w:fill="FFFFFF"/>
        <w:spacing w:line="560" w:lineRule="exact"/>
        <w:ind w:firstLine="643" w:firstLineChars="200"/>
        <w:rPr>
          <w:rFonts w:ascii="仿宋_GB2312" w:hAnsi="黑体" w:eastAsia="仿宋_GB2312"/>
          <w:sz w:val="32"/>
          <w:szCs w:val="32"/>
        </w:rPr>
      </w:pPr>
      <w:r>
        <w:rPr>
          <w:rFonts w:ascii="仿宋_GB2312" w:hAnsi="黑体" w:eastAsia="仿宋_GB2312"/>
          <w:b/>
          <w:sz w:val="32"/>
          <w:szCs w:val="32"/>
        </w:rPr>
        <w:t>第一条</w:t>
      </w:r>
      <w:r>
        <w:rPr>
          <w:rFonts w:ascii="宋体" w:hAnsi="宋体" w:cs="宋体"/>
          <w:kern w:val="0"/>
          <w:szCs w:val="21"/>
        </w:rPr>
        <w:t xml:space="preserve"> </w:t>
      </w:r>
      <w:r>
        <w:rPr>
          <w:rFonts w:ascii="仿宋_GB2312" w:hAnsi="黑体" w:eastAsia="仿宋_GB2312"/>
          <w:sz w:val="32"/>
          <w:szCs w:val="32"/>
        </w:rPr>
        <w:t>为</w:t>
      </w:r>
      <w:r>
        <w:rPr>
          <w:rFonts w:hint="eastAsia" w:ascii="仿宋_GB2312" w:hAnsi="黑体" w:eastAsia="仿宋_GB2312"/>
          <w:sz w:val="32"/>
          <w:szCs w:val="32"/>
        </w:rPr>
        <w:t>进一步</w:t>
      </w:r>
      <w:r>
        <w:rPr>
          <w:rFonts w:ascii="仿宋_GB2312" w:hAnsi="黑体" w:eastAsia="仿宋_GB2312"/>
          <w:sz w:val="32"/>
          <w:szCs w:val="32"/>
        </w:rPr>
        <w:t>加强</w:t>
      </w:r>
      <w:r>
        <w:rPr>
          <w:rFonts w:hint="eastAsia" w:ascii="仿宋_GB2312" w:hAnsi="黑体" w:eastAsia="仿宋_GB2312"/>
          <w:sz w:val="32"/>
          <w:szCs w:val="32"/>
        </w:rPr>
        <w:t>往来款项</w:t>
      </w:r>
      <w:r>
        <w:rPr>
          <w:rFonts w:ascii="仿宋_GB2312" w:hAnsi="黑体" w:eastAsia="仿宋_GB2312"/>
          <w:sz w:val="32"/>
          <w:szCs w:val="32"/>
        </w:rPr>
        <w:t>管理，</w:t>
      </w:r>
      <w:r>
        <w:rPr>
          <w:rFonts w:hint="eastAsia" w:ascii="仿宋_GB2312" w:hAnsi="黑体" w:eastAsia="仿宋_GB2312"/>
          <w:sz w:val="32"/>
          <w:szCs w:val="32"/>
        </w:rPr>
        <w:t>强化会计监督，规范经济行为，</w:t>
      </w:r>
      <w:r>
        <w:rPr>
          <w:rFonts w:ascii="仿宋_GB2312" w:hAnsi="黑体" w:eastAsia="仿宋_GB2312"/>
          <w:sz w:val="32"/>
          <w:szCs w:val="32"/>
        </w:rPr>
        <w:t>提高资金的使用效益，保障</w:t>
      </w:r>
      <w:r>
        <w:rPr>
          <w:rFonts w:hint="eastAsia" w:ascii="仿宋_GB2312" w:hAnsi="黑体" w:eastAsia="仿宋_GB2312"/>
          <w:sz w:val="32"/>
          <w:szCs w:val="32"/>
        </w:rPr>
        <w:t>学校</w:t>
      </w:r>
      <w:r>
        <w:rPr>
          <w:rFonts w:ascii="仿宋_GB2312" w:hAnsi="黑体" w:eastAsia="仿宋_GB2312"/>
          <w:sz w:val="32"/>
          <w:szCs w:val="32"/>
        </w:rPr>
        <w:t>资金安全，根据</w:t>
      </w:r>
      <w:r>
        <w:rPr>
          <w:rFonts w:hint="eastAsia" w:ascii="仿宋_GB2312" w:hAnsi="黑体" w:eastAsia="仿宋_GB2312"/>
          <w:sz w:val="32"/>
          <w:szCs w:val="32"/>
        </w:rPr>
        <w:t>《中华人民共和国会计法》</w:t>
      </w:r>
      <w:r>
        <w:rPr>
          <w:rFonts w:ascii="仿宋_GB2312" w:hAnsi="黑体" w:eastAsia="仿宋_GB2312"/>
          <w:sz w:val="32"/>
          <w:szCs w:val="32"/>
        </w:rPr>
        <w:t>《政府会计准则——基本准则》《</w:t>
      </w:r>
      <w:r>
        <w:rPr>
          <w:rFonts w:hint="eastAsia" w:ascii="仿宋_GB2312" w:hAnsi="黑体" w:eastAsia="仿宋_GB2312"/>
          <w:sz w:val="32"/>
          <w:szCs w:val="32"/>
        </w:rPr>
        <w:t>事业单位国有资产管理暂行办法</w:t>
      </w:r>
      <w:r>
        <w:rPr>
          <w:rFonts w:ascii="仿宋_GB2312" w:hAnsi="黑体" w:eastAsia="仿宋_GB2312"/>
          <w:sz w:val="32"/>
          <w:szCs w:val="32"/>
        </w:rPr>
        <w:t>》《行政事业单位资产清查</w:t>
      </w:r>
      <w:r>
        <w:rPr>
          <w:rFonts w:hint="eastAsia" w:ascii="仿宋_GB2312" w:hAnsi="黑体" w:eastAsia="仿宋_GB2312"/>
          <w:sz w:val="32"/>
          <w:szCs w:val="32"/>
        </w:rPr>
        <w:t>核实管理</w:t>
      </w:r>
      <w:r>
        <w:rPr>
          <w:rFonts w:ascii="仿宋_GB2312" w:hAnsi="黑体" w:eastAsia="仿宋_GB2312"/>
          <w:sz w:val="32"/>
          <w:szCs w:val="32"/>
        </w:rPr>
        <w:t>办法》《</w:t>
      </w:r>
      <w:r>
        <w:rPr>
          <w:rFonts w:hint="eastAsia" w:ascii="仿宋_GB2312" w:hAnsi="黑体" w:eastAsia="仿宋_GB2312"/>
          <w:sz w:val="32"/>
          <w:szCs w:val="32"/>
        </w:rPr>
        <w:t>广东省行政事业性国有资产管理办法（试行）</w:t>
      </w:r>
      <w:r>
        <w:rPr>
          <w:rFonts w:ascii="仿宋_GB2312" w:hAnsi="黑体" w:eastAsia="仿宋_GB2312"/>
          <w:sz w:val="32"/>
          <w:szCs w:val="32"/>
        </w:rPr>
        <w:t>》《</w:t>
      </w:r>
      <w:r>
        <w:rPr>
          <w:rFonts w:hint="eastAsia" w:ascii="仿宋_GB2312" w:hAnsi="黑体" w:eastAsia="仿宋_GB2312"/>
          <w:sz w:val="32"/>
          <w:szCs w:val="32"/>
        </w:rPr>
        <w:t>汕头市市直行政事业单位国有资产处置管理暂行办法</w:t>
      </w:r>
      <w:r>
        <w:rPr>
          <w:rFonts w:ascii="仿宋_GB2312" w:hAnsi="黑体" w:eastAsia="仿宋_GB2312"/>
          <w:sz w:val="32"/>
          <w:szCs w:val="32"/>
        </w:rPr>
        <w:t>》</w:t>
      </w:r>
      <w:r>
        <w:rPr>
          <w:rFonts w:hint="eastAsia" w:ascii="仿宋_GB2312" w:hAnsi="黑体" w:eastAsia="仿宋_GB2312"/>
          <w:sz w:val="32"/>
          <w:szCs w:val="32"/>
        </w:rPr>
        <w:t>，参照《教育部直属高校经济活动内部控制指南（试行）》</w:t>
      </w:r>
      <w:r>
        <w:rPr>
          <w:rFonts w:ascii="仿宋_GB2312" w:hAnsi="黑体" w:eastAsia="仿宋_GB2312"/>
          <w:sz w:val="32"/>
          <w:szCs w:val="32"/>
        </w:rPr>
        <w:t>等相关</w:t>
      </w:r>
      <w:r>
        <w:rPr>
          <w:rFonts w:hint="eastAsia" w:ascii="仿宋_GB2312" w:hAnsi="黑体" w:eastAsia="仿宋_GB2312"/>
          <w:sz w:val="32"/>
          <w:szCs w:val="32"/>
        </w:rPr>
        <w:t>法律法规</w:t>
      </w:r>
      <w:r>
        <w:rPr>
          <w:rFonts w:ascii="仿宋_GB2312" w:hAnsi="黑体" w:eastAsia="仿宋_GB2312"/>
          <w:sz w:val="32"/>
          <w:szCs w:val="32"/>
        </w:rPr>
        <w:t>，结合学校实际情况，特制定本办法。</w:t>
      </w:r>
    </w:p>
    <w:p>
      <w:pPr>
        <w:widowControl/>
        <w:shd w:val="clear" w:color="auto" w:fill="FFFFFF"/>
        <w:spacing w:line="560" w:lineRule="exact"/>
        <w:ind w:firstLine="709"/>
        <w:rPr>
          <w:rFonts w:ascii="仿宋_GB2312" w:hAnsi="黑体" w:eastAsia="仿宋_GB2312"/>
          <w:sz w:val="32"/>
          <w:szCs w:val="32"/>
        </w:rPr>
      </w:pPr>
      <w:r>
        <w:rPr>
          <w:rFonts w:ascii="仿宋_GB2312" w:hAnsi="黑体" w:eastAsia="仿宋_GB2312"/>
          <w:b/>
          <w:sz w:val="32"/>
          <w:szCs w:val="32"/>
        </w:rPr>
        <w:t>第</w:t>
      </w:r>
      <w:r>
        <w:rPr>
          <w:rFonts w:hint="eastAsia" w:ascii="仿宋_GB2312" w:hAnsi="黑体" w:eastAsia="仿宋_GB2312"/>
          <w:b/>
          <w:sz w:val="32"/>
          <w:szCs w:val="32"/>
        </w:rPr>
        <w:t>二</w:t>
      </w:r>
      <w:r>
        <w:rPr>
          <w:rFonts w:ascii="仿宋_GB2312" w:hAnsi="黑体" w:eastAsia="仿宋_GB2312"/>
          <w:b/>
          <w:sz w:val="32"/>
          <w:szCs w:val="32"/>
        </w:rPr>
        <w:t>条</w:t>
      </w:r>
      <w:r>
        <w:rPr>
          <w:rFonts w:hint="eastAsia" w:ascii="仿宋_GB2312" w:hAnsi="黑体" w:eastAsia="仿宋_GB2312"/>
          <w:b/>
          <w:sz w:val="32"/>
          <w:szCs w:val="32"/>
        </w:rPr>
        <w:t xml:space="preserve"> </w:t>
      </w:r>
      <w:r>
        <w:rPr>
          <w:rFonts w:hint="eastAsia" w:ascii="仿宋_GB2312" w:hAnsi="黑体" w:eastAsia="仿宋_GB2312"/>
          <w:sz w:val="32"/>
          <w:szCs w:val="32"/>
        </w:rPr>
        <w:t>本办法所称</w:t>
      </w:r>
      <w:r>
        <w:rPr>
          <w:rFonts w:ascii="仿宋_GB2312" w:hAnsi="黑体" w:eastAsia="仿宋_GB2312"/>
          <w:sz w:val="32"/>
          <w:szCs w:val="32"/>
        </w:rPr>
        <w:t>往来款项</w:t>
      </w:r>
      <w:r>
        <w:rPr>
          <w:rFonts w:hint="eastAsia" w:ascii="仿宋_GB2312" w:hAnsi="黑体" w:eastAsia="仿宋_GB2312"/>
          <w:sz w:val="32"/>
          <w:szCs w:val="32"/>
        </w:rPr>
        <w:t>是指学校在经济活动中发生的</w:t>
      </w:r>
      <w:r>
        <w:rPr>
          <w:rFonts w:ascii="仿宋_GB2312" w:hAnsi="黑体" w:eastAsia="仿宋_GB2312"/>
          <w:sz w:val="32"/>
          <w:szCs w:val="32"/>
        </w:rPr>
        <w:t>应收账款、预付账款、其他应收款以及应付账款、预收账款、其他应付款</w:t>
      </w:r>
      <w:r>
        <w:rPr>
          <w:rFonts w:hint="eastAsia" w:ascii="仿宋_GB2312" w:hAnsi="黑体" w:eastAsia="仿宋_GB2312"/>
          <w:sz w:val="32"/>
          <w:szCs w:val="32"/>
        </w:rPr>
        <w:t>等</w:t>
      </w:r>
      <w:r>
        <w:rPr>
          <w:rFonts w:ascii="仿宋_GB2312" w:hAnsi="黑体" w:eastAsia="仿宋_GB2312"/>
          <w:sz w:val="32"/>
          <w:szCs w:val="32"/>
        </w:rPr>
        <w:t>。</w:t>
      </w:r>
    </w:p>
    <w:p>
      <w:pPr>
        <w:widowControl/>
        <w:shd w:val="clear" w:color="auto" w:fill="FFFFFF"/>
        <w:spacing w:line="560" w:lineRule="exact"/>
        <w:ind w:firstLine="709"/>
        <w:rPr>
          <w:rFonts w:ascii="仿宋_GB2312" w:hAnsi="黑体" w:eastAsia="仿宋_GB2312"/>
          <w:sz w:val="32"/>
          <w:szCs w:val="32"/>
        </w:rPr>
      </w:pPr>
      <w:r>
        <w:rPr>
          <w:rFonts w:hint="eastAsia" w:ascii="仿宋_GB2312" w:hAnsi="黑体" w:eastAsia="仿宋_GB2312"/>
          <w:sz w:val="32"/>
          <w:szCs w:val="32"/>
        </w:rPr>
        <w:t>（一</w:t>
      </w:r>
      <w:r>
        <w:rPr>
          <w:rFonts w:ascii="仿宋_GB2312" w:hAnsi="黑体" w:eastAsia="仿宋_GB2312"/>
          <w:sz w:val="32"/>
          <w:szCs w:val="32"/>
        </w:rPr>
        <w:t>）应收账款、预付账款和其他应收款（以下简称为“应收及预付款项”）是学校对单位及个人的一种债权</w:t>
      </w:r>
      <w:r>
        <w:rPr>
          <w:rFonts w:hint="eastAsia" w:ascii="仿宋_GB2312" w:hAnsi="黑体" w:eastAsia="仿宋_GB2312"/>
          <w:sz w:val="32"/>
          <w:szCs w:val="32"/>
        </w:rPr>
        <w:t>。</w:t>
      </w:r>
    </w:p>
    <w:p>
      <w:pPr>
        <w:spacing w:line="560" w:lineRule="exact"/>
        <w:ind w:firstLine="709"/>
        <w:rPr>
          <w:rFonts w:ascii="仿宋_GB2312" w:hAnsi="黑体" w:eastAsia="仿宋_GB2312"/>
          <w:sz w:val="32"/>
          <w:szCs w:val="32"/>
        </w:rPr>
      </w:pPr>
      <w:r>
        <w:rPr>
          <w:rFonts w:hint="eastAsia" w:ascii="仿宋_GB2312" w:hAnsi="黑体" w:eastAsia="仿宋_GB2312"/>
          <w:sz w:val="32"/>
          <w:szCs w:val="32"/>
        </w:rPr>
        <w:t>（二）应付账款、</w:t>
      </w:r>
      <w:r>
        <w:rPr>
          <w:rFonts w:ascii="仿宋_GB2312" w:hAnsi="黑体" w:eastAsia="仿宋_GB2312"/>
          <w:sz w:val="32"/>
          <w:szCs w:val="32"/>
        </w:rPr>
        <w:t>预收账款和其他应付款（以下简称为“应付及预收款项”）是学校对单位及个人的一种债务。</w:t>
      </w:r>
    </w:p>
    <w:p>
      <w:pPr>
        <w:widowControl/>
        <w:shd w:val="clear" w:color="auto" w:fill="FFFFFF"/>
        <w:spacing w:line="560" w:lineRule="exact"/>
        <w:ind w:firstLine="709"/>
        <w:rPr>
          <w:rFonts w:ascii="仿宋_GB2312" w:hAnsi="黑体" w:eastAsia="仿宋_GB2312"/>
          <w:sz w:val="32"/>
          <w:szCs w:val="32"/>
        </w:rPr>
      </w:pPr>
      <w:r>
        <w:rPr>
          <w:rFonts w:ascii="仿宋_GB2312" w:hAnsi="黑体" w:eastAsia="仿宋_GB2312"/>
          <w:b/>
          <w:sz w:val="32"/>
          <w:szCs w:val="32"/>
        </w:rPr>
        <w:t>第</w:t>
      </w:r>
      <w:r>
        <w:rPr>
          <w:rFonts w:hint="eastAsia" w:ascii="仿宋_GB2312" w:hAnsi="黑体" w:eastAsia="仿宋_GB2312"/>
          <w:b/>
          <w:sz w:val="32"/>
          <w:szCs w:val="32"/>
        </w:rPr>
        <w:t>三</w:t>
      </w:r>
      <w:r>
        <w:rPr>
          <w:rFonts w:ascii="仿宋_GB2312" w:hAnsi="黑体" w:eastAsia="仿宋_GB2312"/>
          <w:b/>
          <w:sz w:val="32"/>
          <w:szCs w:val="32"/>
        </w:rPr>
        <w:t>条</w:t>
      </w:r>
      <w:r>
        <w:rPr>
          <w:rFonts w:ascii="仿宋_GB2312" w:hAnsi="黑体" w:eastAsia="仿宋_GB2312"/>
          <w:sz w:val="32"/>
          <w:szCs w:val="32"/>
        </w:rPr>
        <w:t xml:space="preserve"> 学校各</w:t>
      </w:r>
      <w:r>
        <w:rPr>
          <w:rFonts w:hint="eastAsia" w:ascii="仿宋_GB2312" w:hAnsi="黑体" w:eastAsia="仿宋_GB2312"/>
          <w:sz w:val="32"/>
          <w:szCs w:val="32"/>
        </w:rPr>
        <w:t>部门</w:t>
      </w:r>
      <w:r>
        <w:rPr>
          <w:rFonts w:ascii="仿宋_GB2312" w:hAnsi="黑体" w:eastAsia="仿宋_GB2312"/>
          <w:sz w:val="32"/>
          <w:szCs w:val="32"/>
        </w:rPr>
        <w:t>及个人</w:t>
      </w:r>
      <w:r>
        <w:rPr>
          <w:rFonts w:hint="eastAsia" w:ascii="仿宋_GB2312" w:hAnsi="黑体" w:eastAsia="仿宋_GB2312"/>
          <w:sz w:val="32"/>
          <w:szCs w:val="32"/>
        </w:rPr>
        <w:t>应当遵守法律法规与学校的规章制度</w:t>
      </w:r>
      <w:r>
        <w:rPr>
          <w:rFonts w:ascii="仿宋_GB2312" w:hAnsi="黑体" w:eastAsia="仿宋_GB2312"/>
          <w:sz w:val="32"/>
          <w:szCs w:val="32"/>
        </w:rPr>
        <w:t>，</w:t>
      </w:r>
      <w:r>
        <w:rPr>
          <w:rFonts w:hint="eastAsia" w:ascii="仿宋_GB2312" w:hAnsi="黑体" w:eastAsia="仿宋_GB2312"/>
          <w:sz w:val="32"/>
          <w:szCs w:val="32"/>
        </w:rPr>
        <w:t>按照往来款项、借款用途、期限等管理规范完成</w:t>
      </w:r>
      <w:r>
        <w:rPr>
          <w:rFonts w:ascii="仿宋_GB2312" w:hAnsi="黑体" w:eastAsia="仿宋_GB2312"/>
          <w:sz w:val="32"/>
          <w:szCs w:val="32"/>
        </w:rPr>
        <w:t>往来款项财务结算手续，</w:t>
      </w:r>
      <w:r>
        <w:rPr>
          <w:rFonts w:hint="eastAsia" w:ascii="仿宋_GB2312" w:hAnsi="黑体" w:eastAsia="仿宋_GB2312"/>
          <w:sz w:val="32"/>
          <w:szCs w:val="32"/>
        </w:rPr>
        <w:t>禁止违规使用</w:t>
      </w:r>
      <w:r>
        <w:rPr>
          <w:rFonts w:ascii="仿宋_GB2312" w:hAnsi="黑体" w:eastAsia="仿宋_GB2312"/>
          <w:sz w:val="32"/>
          <w:szCs w:val="32"/>
        </w:rPr>
        <w:t>、长期拖欠或占用学校资金。</w:t>
      </w:r>
    </w:p>
    <w:p>
      <w:pPr>
        <w:widowControl/>
        <w:shd w:val="clear" w:color="auto" w:fill="FFFFFF"/>
        <w:spacing w:line="560" w:lineRule="exact"/>
        <w:ind w:firstLine="709"/>
        <w:rPr>
          <w:rFonts w:ascii="仿宋_GB2312" w:hAnsi="黑体" w:eastAsia="仿宋_GB2312"/>
          <w:sz w:val="32"/>
          <w:szCs w:val="32"/>
        </w:rPr>
      </w:pPr>
      <w:r>
        <w:rPr>
          <w:rFonts w:ascii="仿宋_GB2312" w:hAnsi="黑体" w:eastAsia="仿宋_GB2312"/>
          <w:b/>
          <w:sz w:val="32"/>
          <w:szCs w:val="32"/>
        </w:rPr>
        <w:t>第</w:t>
      </w:r>
      <w:r>
        <w:rPr>
          <w:rFonts w:hint="eastAsia" w:ascii="仿宋_GB2312" w:hAnsi="黑体" w:eastAsia="仿宋_GB2312"/>
          <w:b/>
          <w:sz w:val="32"/>
          <w:szCs w:val="32"/>
        </w:rPr>
        <w:t>四</w:t>
      </w:r>
      <w:r>
        <w:rPr>
          <w:rFonts w:ascii="仿宋_GB2312" w:hAnsi="黑体" w:eastAsia="仿宋_GB2312"/>
          <w:b/>
          <w:sz w:val="32"/>
          <w:szCs w:val="32"/>
        </w:rPr>
        <w:t>条</w:t>
      </w:r>
      <w:r>
        <w:rPr>
          <w:rFonts w:ascii="仿宋_GB2312" w:hAnsi="黑体" w:eastAsia="仿宋_GB2312"/>
          <w:sz w:val="32"/>
          <w:szCs w:val="32"/>
        </w:rPr>
        <w:t xml:space="preserve"> 学校</w:t>
      </w:r>
      <w:r>
        <w:rPr>
          <w:rFonts w:hint="eastAsia" w:ascii="仿宋_GB2312" w:hAnsi="黑体" w:eastAsia="仿宋_GB2312"/>
          <w:sz w:val="32"/>
          <w:szCs w:val="32"/>
        </w:rPr>
        <w:t>财务部门和财会人员</w:t>
      </w:r>
      <w:r>
        <w:rPr>
          <w:rFonts w:ascii="仿宋_GB2312" w:hAnsi="黑体" w:eastAsia="仿宋_GB2312"/>
          <w:sz w:val="32"/>
          <w:szCs w:val="32"/>
        </w:rPr>
        <w:t>要严格按照本管理办法的要求，加强对往来款项的管理，及时催收、催缴、催报，定期对往来款项进行清理</w:t>
      </w:r>
      <w:r>
        <w:rPr>
          <w:rFonts w:hint="eastAsia" w:ascii="仿宋_GB2312" w:hAnsi="黑体" w:eastAsia="仿宋_GB2312"/>
          <w:sz w:val="32"/>
          <w:szCs w:val="32"/>
        </w:rPr>
        <w:t>及账龄分析</w:t>
      </w:r>
      <w:r>
        <w:rPr>
          <w:rFonts w:ascii="仿宋_GB2312" w:hAnsi="黑体" w:eastAsia="仿宋_GB2312"/>
          <w:sz w:val="32"/>
          <w:szCs w:val="32"/>
        </w:rPr>
        <w:t>，</w:t>
      </w:r>
      <w:r>
        <w:rPr>
          <w:rFonts w:hint="eastAsia" w:ascii="仿宋_GB2312" w:hAnsi="黑体" w:eastAsia="仿宋_GB2312"/>
          <w:sz w:val="32"/>
          <w:szCs w:val="32"/>
        </w:rPr>
        <w:t>督促相关单位和经费使用人及时办理财务核销手续。按照规定程序核销坏账，避免学校资金损失和会计信息失真。</w:t>
      </w:r>
    </w:p>
    <w:p>
      <w:pPr>
        <w:widowControl/>
        <w:shd w:val="clear" w:color="auto" w:fill="FFFFFF"/>
        <w:spacing w:line="560" w:lineRule="exact"/>
        <w:ind w:firstLine="709"/>
        <w:rPr>
          <w:rFonts w:ascii="仿宋_GB2312" w:hAnsi="黑体" w:eastAsia="仿宋_GB2312"/>
          <w:sz w:val="32"/>
          <w:szCs w:val="32"/>
        </w:rPr>
      </w:pPr>
      <w:r>
        <w:rPr>
          <w:rFonts w:hint="eastAsia" w:ascii="仿宋_GB2312" w:hAnsi="黑体" w:eastAsia="仿宋_GB2312"/>
          <w:b/>
          <w:sz w:val="32"/>
          <w:szCs w:val="32"/>
        </w:rPr>
        <w:t>第五条</w:t>
      </w:r>
      <w:r>
        <w:rPr>
          <w:rFonts w:hint="eastAsia" w:ascii="仿宋_GB2312" w:hAnsi="黑体" w:eastAsia="仿宋_GB2312"/>
          <w:sz w:val="32"/>
          <w:szCs w:val="32"/>
        </w:rPr>
        <w:t xml:space="preserve"> 往来款项的管理实行监督问责机制，经办人对本人经办的往来款项承担直接归还与结算责任，项目负责人对所负责项目的往来款项承担项目结算与管理责任，部门主要负责人对所在部门的往来款项承担监督管理责任。部门主要负责人、项目负责人承担经办人因离校、失踪、去世等未结清往来款项的连带责任。</w:t>
      </w:r>
    </w:p>
    <w:p>
      <w:pPr>
        <w:widowControl/>
        <w:shd w:val="clear" w:color="auto" w:fill="FFFFFF"/>
        <w:spacing w:line="560" w:lineRule="exact"/>
        <w:ind w:firstLine="709"/>
        <w:rPr>
          <w:rFonts w:ascii="仿宋_GB2312" w:hAnsi="黑体" w:eastAsia="仿宋_GB2312"/>
          <w:sz w:val="32"/>
          <w:szCs w:val="32"/>
        </w:rPr>
      </w:pPr>
      <w:r>
        <w:rPr>
          <w:rFonts w:hint="eastAsia" w:ascii="仿宋_GB2312" w:hAnsi="黑体" w:eastAsia="仿宋_GB2312"/>
          <w:b/>
          <w:sz w:val="32"/>
          <w:szCs w:val="32"/>
        </w:rPr>
        <w:t>第六条</w:t>
      </w:r>
      <w:r>
        <w:rPr>
          <w:rFonts w:hint="eastAsia" w:ascii="仿宋_GB2312" w:hAnsi="黑体" w:eastAsia="仿宋_GB2312"/>
          <w:sz w:val="32"/>
          <w:szCs w:val="32"/>
        </w:rPr>
        <w:t xml:space="preserve"> 往来款项管理情况纳入年度学校对部门考核和个人考核、绩效评奖评优体系。</w:t>
      </w:r>
    </w:p>
    <w:p>
      <w:pPr>
        <w:widowControl/>
        <w:shd w:val="clear" w:color="auto" w:fill="FFFFFF"/>
        <w:spacing w:line="560" w:lineRule="exact"/>
        <w:ind w:firstLine="2080" w:firstLineChars="650"/>
        <w:rPr>
          <w:rFonts w:ascii="黑体" w:hAnsi="黑体" w:eastAsia="黑体"/>
          <w:sz w:val="32"/>
          <w:szCs w:val="32"/>
        </w:rPr>
      </w:pPr>
      <w:r>
        <w:rPr>
          <w:rFonts w:ascii="黑体" w:hAnsi="黑体" w:eastAsia="黑体"/>
          <w:sz w:val="32"/>
          <w:szCs w:val="32"/>
        </w:rPr>
        <w:t xml:space="preserve">第二章 </w:t>
      </w:r>
      <w:r>
        <w:rPr>
          <w:rFonts w:hint="eastAsia" w:ascii="黑体" w:hAnsi="黑体" w:eastAsia="黑体"/>
          <w:sz w:val="32"/>
          <w:szCs w:val="32"/>
        </w:rPr>
        <w:t xml:space="preserve"> </w:t>
      </w:r>
      <w:r>
        <w:rPr>
          <w:rFonts w:ascii="黑体" w:hAnsi="黑体" w:eastAsia="黑体"/>
          <w:sz w:val="32"/>
          <w:szCs w:val="32"/>
        </w:rPr>
        <w:t>应收及预付款项的管理</w:t>
      </w:r>
    </w:p>
    <w:p>
      <w:pPr>
        <w:widowControl/>
        <w:shd w:val="clear" w:color="auto" w:fill="FFFFFF"/>
        <w:spacing w:line="560" w:lineRule="exact"/>
        <w:ind w:firstLine="709"/>
        <w:rPr>
          <w:rFonts w:ascii="仿宋_GB2312" w:hAnsi="黑体" w:eastAsia="仿宋_GB2312"/>
          <w:sz w:val="32"/>
          <w:szCs w:val="32"/>
        </w:rPr>
      </w:pPr>
      <w:r>
        <w:rPr>
          <w:rFonts w:ascii="仿宋_GB2312" w:hAnsi="黑体" w:eastAsia="仿宋_GB2312"/>
          <w:b/>
          <w:sz w:val="32"/>
          <w:szCs w:val="32"/>
        </w:rPr>
        <w:t>第</w:t>
      </w:r>
      <w:r>
        <w:rPr>
          <w:rFonts w:hint="eastAsia" w:ascii="仿宋_GB2312" w:hAnsi="黑体" w:eastAsia="仿宋_GB2312"/>
          <w:b/>
          <w:sz w:val="32"/>
          <w:szCs w:val="32"/>
        </w:rPr>
        <w:t>七</w:t>
      </w:r>
      <w:r>
        <w:rPr>
          <w:rFonts w:ascii="仿宋_GB2312" w:hAnsi="黑体" w:eastAsia="仿宋_GB2312"/>
          <w:b/>
          <w:sz w:val="32"/>
          <w:szCs w:val="32"/>
        </w:rPr>
        <w:t>条</w:t>
      </w:r>
      <w:r>
        <w:rPr>
          <w:rFonts w:ascii="仿宋_GB2312" w:hAnsi="黑体" w:eastAsia="仿宋_GB2312"/>
          <w:sz w:val="32"/>
          <w:szCs w:val="32"/>
        </w:rPr>
        <w:t xml:space="preserve"> 应收账款是指学校提供服务、</w:t>
      </w:r>
      <w:r>
        <w:rPr>
          <w:rFonts w:hint="eastAsia" w:ascii="仿宋_GB2312" w:hAnsi="黑体" w:eastAsia="仿宋_GB2312"/>
          <w:sz w:val="32"/>
          <w:szCs w:val="32"/>
        </w:rPr>
        <w:t>出租资产</w:t>
      </w:r>
      <w:r>
        <w:rPr>
          <w:rFonts w:ascii="仿宋_GB2312" w:hAnsi="黑体" w:eastAsia="仿宋_GB2312"/>
          <w:sz w:val="32"/>
          <w:szCs w:val="32"/>
        </w:rPr>
        <w:t>等而应收取的款项。预付账款是指学校按照购货、</w:t>
      </w:r>
      <w:r>
        <w:rPr>
          <w:rFonts w:hint="eastAsia" w:ascii="仿宋_GB2312" w:hAnsi="黑体" w:eastAsia="仿宋_GB2312"/>
          <w:sz w:val="32"/>
          <w:szCs w:val="32"/>
        </w:rPr>
        <w:t>服务</w:t>
      </w:r>
      <w:r>
        <w:rPr>
          <w:rFonts w:ascii="仿宋_GB2312" w:hAnsi="黑体" w:eastAsia="仿宋_GB2312"/>
          <w:sz w:val="32"/>
          <w:szCs w:val="32"/>
        </w:rPr>
        <w:t>合同或协议规定预付给供应单位</w:t>
      </w:r>
      <w:r>
        <w:rPr>
          <w:rFonts w:hint="eastAsia" w:ascii="仿宋_GB2312" w:hAnsi="黑体" w:eastAsia="仿宋_GB2312"/>
          <w:sz w:val="32"/>
          <w:szCs w:val="32"/>
        </w:rPr>
        <w:t>或个人</w:t>
      </w:r>
      <w:r>
        <w:rPr>
          <w:rFonts w:ascii="仿宋_GB2312" w:hAnsi="黑体" w:eastAsia="仿宋_GB2312"/>
          <w:sz w:val="32"/>
          <w:szCs w:val="32"/>
        </w:rPr>
        <w:t>的款项，</w:t>
      </w:r>
      <w:r>
        <w:rPr>
          <w:rFonts w:hint="eastAsia" w:ascii="仿宋_GB2312" w:hAnsi="黑体" w:eastAsia="仿宋_GB2312"/>
          <w:sz w:val="32"/>
          <w:szCs w:val="32"/>
        </w:rPr>
        <w:t>以及按照合同规定向承包工程的施工单位预付的备料款和工程款</w:t>
      </w:r>
      <w:r>
        <w:rPr>
          <w:rFonts w:ascii="仿宋_GB2312" w:hAnsi="黑体" w:eastAsia="仿宋_GB2312"/>
          <w:sz w:val="32"/>
          <w:szCs w:val="32"/>
        </w:rPr>
        <w:t>。其他应收款是学校除财政应返还额度、应收票据、应收账款、预付账款</w:t>
      </w:r>
      <w:r>
        <w:rPr>
          <w:rFonts w:hint="eastAsia" w:ascii="仿宋_GB2312" w:hAnsi="黑体" w:eastAsia="仿宋_GB2312"/>
          <w:sz w:val="32"/>
          <w:szCs w:val="32"/>
        </w:rPr>
        <w:t>等</w:t>
      </w:r>
      <w:r>
        <w:rPr>
          <w:rFonts w:ascii="仿宋_GB2312" w:hAnsi="黑体" w:eastAsia="仿宋_GB2312"/>
          <w:sz w:val="32"/>
          <w:szCs w:val="32"/>
        </w:rPr>
        <w:t>以外的其他各项应收及暂付款项，主要</w:t>
      </w:r>
      <w:r>
        <w:rPr>
          <w:rFonts w:hint="eastAsia" w:ascii="仿宋_GB2312" w:hAnsi="黑体" w:eastAsia="仿宋_GB2312"/>
          <w:sz w:val="32"/>
          <w:szCs w:val="32"/>
        </w:rPr>
        <w:t>指因教学、科研、管理等日常开支需要，从学校预借的款项。</w:t>
      </w:r>
    </w:p>
    <w:p>
      <w:pPr>
        <w:widowControl/>
        <w:shd w:val="clear" w:color="auto" w:fill="FFFFFF"/>
        <w:spacing w:line="560" w:lineRule="exact"/>
        <w:ind w:firstLine="709"/>
        <w:rPr>
          <w:rFonts w:ascii="仿宋_GB2312" w:hAnsi="黑体" w:eastAsia="仿宋_GB2312"/>
          <w:sz w:val="32"/>
          <w:szCs w:val="32"/>
        </w:rPr>
      </w:pPr>
      <w:r>
        <w:rPr>
          <w:rFonts w:hint="eastAsia" w:ascii="仿宋_GB2312" w:hAnsi="黑体" w:eastAsia="仿宋_GB2312"/>
          <w:b/>
          <w:sz w:val="32"/>
          <w:szCs w:val="32"/>
        </w:rPr>
        <w:t>第八条</w:t>
      </w:r>
      <w:r>
        <w:rPr>
          <w:rFonts w:hint="eastAsia" w:ascii="仿宋_GB2312" w:hAnsi="黑体" w:eastAsia="仿宋_GB2312"/>
          <w:sz w:val="32"/>
          <w:szCs w:val="32"/>
        </w:rPr>
        <w:t xml:space="preserve"> 应收及预付款项的管理原则。</w:t>
      </w:r>
    </w:p>
    <w:p>
      <w:pPr>
        <w:widowControl/>
        <w:shd w:val="clear" w:color="auto" w:fill="FFFFFF"/>
        <w:spacing w:line="560" w:lineRule="exact"/>
        <w:ind w:firstLine="709"/>
        <w:rPr>
          <w:rFonts w:ascii="仿宋_GB2312" w:hAnsi="黑体" w:eastAsia="仿宋_GB2312"/>
          <w:sz w:val="32"/>
          <w:szCs w:val="32"/>
        </w:rPr>
      </w:pPr>
      <w:r>
        <w:rPr>
          <w:rFonts w:hint="eastAsia" w:ascii="仿宋_GB2312" w:hAnsi="黑体" w:eastAsia="仿宋_GB2312"/>
          <w:sz w:val="32"/>
          <w:szCs w:val="32"/>
        </w:rPr>
        <w:t>（一）预算控制原则。应收及预付款项应有相应的经费来源和经费预算，无预算、超预算或无经费来源，一律不予办理。</w:t>
      </w:r>
    </w:p>
    <w:p>
      <w:pPr>
        <w:spacing w:line="560" w:lineRule="exact"/>
        <w:ind w:firstLine="709"/>
        <w:rPr>
          <w:rFonts w:ascii="仿宋_GB2312" w:hAnsi="黑体" w:eastAsia="仿宋_GB2312"/>
          <w:sz w:val="32"/>
          <w:szCs w:val="32"/>
        </w:rPr>
      </w:pPr>
      <w:r>
        <w:rPr>
          <w:rFonts w:hint="eastAsia" w:ascii="仿宋_GB2312" w:hAnsi="黑体" w:eastAsia="仿宋_GB2312"/>
          <w:sz w:val="32"/>
          <w:szCs w:val="32"/>
        </w:rPr>
        <w:t>（二）专款专用原则。应收及预付款项应按照借款用途专款专用，严禁公款私用，严禁挪作他用。</w:t>
      </w:r>
    </w:p>
    <w:p>
      <w:pPr>
        <w:spacing w:line="560" w:lineRule="exact"/>
        <w:ind w:firstLine="709"/>
        <w:rPr>
          <w:rFonts w:ascii="仿宋_GB2312" w:hAnsi="黑体" w:eastAsia="仿宋_GB2312"/>
          <w:sz w:val="32"/>
          <w:szCs w:val="32"/>
        </w:rPr>
      </w:pPr>
      <w:r>
        <w:rPr>
          <w:rFonts w:hint="eastAsia" w:ascii="仿宋_GB2312" w:hAnsi="黑体" w:eastAsia="仿宋_GB2312"/>
          <w:sz w:val="32"/>
          <w:szCs w:val="32"/>
        </w:rPr>
        <w:t>（三）及时结算原则。应收及预付款项必须一事一借、一借一清，禁止一借多用、长期挂账。原则上前款未清、后款不借。</w:t>
      </w:r>
    </w:p>
    <w:p>
      <w:pPr>
        <w:spacing w:line="560" w:lineRule="exact"/>
        <w:ind w:firstLine="709"/>
        <w:rPr>
          <w:rFonts w:ascii="仿宋_GB2312" w:hAnsi="黑体" w:eastAsia="仿宋_GB2312"/>
          <w:sz w:val="32"/>
          <w:szCs w:val="32"/>
        </w:rPr>
      </w:pPr>
      <w:r>
        <w:rPr>
          <w:rFonts w:hint="eastAsia" w:ascii="仿宋_GB2312" w:hAnsi="黑体" w:eastAsia="仿宋_GB2312"/>
          <w:sz w:val="32"/>
          <w:szCs w:val="32"/>
        </w:rPr>
        <w:t>（四）定期清理原则。所有应收及预付款项</w:t>
      </w:r>
      <w:r>
        <w:rPr>
          <w:rFonts w:ascii="仿宋_GB2312" w:hAnsi="黑体" w:eastAsia="仿宋_GB2312"/>
          <w:sz w:val="32"/>
          <w:szCs w:val="32"/>
        </w:rPr>
        <w:t>每</w:t>
      </w:r>
      <w:r>
        <w:rPr>
          <w:rFonts w:hint="eastAsia" w:ascii="仿宋_GB2312" w:hAnsi="黑体" w:eastAsia="仿宋_GB2312"/>
          <w:sz w:val="32"/>
          <w:szCs w:val="32"/>
        </w:rPr>
        <w:t>季度</w:t>
      </w:r>
      <w:r>
        <w:rPr>
          <w:rFonts w:ascii="仿宋_GB2312" w:hAnsi="黑体" w:eastAsia="仿宋_GB2312"/>
          <w:sz w:val="32"/>
          <w:szCs w:val="32"/>
        </w:rPr>
        <w:t>进行一次清理，并及时通知和监督相关</w:t>
      </w:r>
      <w:r>
        <w:rPr>
          <w:rFonts w:hint="eastAsia" w:ascii="仿宋_GB2312" w:hAnsi="黑体" w:eastAsia="仿宋_GB2312"/>
          <w:sz w:val="32"/>
          <w:szCs w:val="32"/>
        </w:rPr>
        <w:t>部门</w:t>
      </w:r>
      <w:r>
        <w:rPr>
          <w:rFonts w:ascii="仿宋_GB2312" w:hAnsi="黑体" w:eastAsia="仿宋_GB2312"/>
          <w:sz w:val="32"/>
          <w:szCs w:val="32"/>
        </w:rPr>
        <w:t>收回</w:t>
      </w:r>
      <w:r>
        <w:rPr>
          <w:rFonts w:hint="eastAsia" w:ascii="仿宋_GB2312" w:hAnsi="黑体" w:eastAsia="仿宋_GB2312"/>
          <w:sz w:val="32"/>
          <w:szCs w:val="32"/>
        </w:rPr>
        <w:t>款项</w:t>
      </w:r>
      <w:r>
        <w:rPr>
          <w:rFonts w:ascii="仿宋_GB2312" w:hAnsi="黑体" w:eastAsia="仿宋_GB2312"/>
          <w:sz w:val="32"/>
          <w:szCs w:val="32"/>
        </w:rPr>
        <w:t>和办理</w:t>
      </w:r>
      <w:r>
        <w:rPr>
          <w:rFonts w:hint="eastAsia" w:ascii="仿宋_GB2312" w:hAnsi="黑体" w:eastAsia="仿宋_GB2312"/>
          <w:sz w:val="32"/>
          <w:szCs w:val="32"/>
        </w:rPr>
        <w:t>报销</w:t>
      </w:r>
      <w:r>
        <w:rPr>
          <w:rFonts w:ascii="仿宋_GB2312" w:hAnsi="黑体" w:eastAsia="仿宋_GB2312"/>
          <w:sz w:val="32"/>
          <w:szCs w:val="32"/>
        </w:rPr>
        <w:t>手续</w:t>
      </w:r>
      <w:r>
        <w:rPr>
          <w:rFonts w:hint="eastAsia" w:ascii="仿宋_GB2312" w:hAnsi="黑体" w:eastAsia="仿宋_GB2312"/>
          <w:sz w:val="32"/>
          <w:szCs w:val="32"/>
        </w:rPr>
        <w:t>，禁止长期挂账</w:t>
      </w:r>
      <w:r>
        <w:rPr>
          <w:rFonts w:ascii="仿宋_GB2312" w:hAnsi="黑体" w:eastAsia="仿宋_GB2312"/>
          <w:sz w:val="32"/>
          <w:szCs w:val="32"/>
        </w:rPr>
        <w:t>。</w:t>
      </w:r>
    </w:p>
    <w:p>
      <w:pPr>
        <w:spacing w:line="560" w:lineRule="exact"/>
        <w:ind w:firstLine="709"/>
        <w:rPr>
          <w:rFonts w:ascii="仿宋_GB2312" w:hAnsi="黑体" w:eastAsia="仿宋_GB2312"/>
          <w:sz w:val="32"/>
          <w:szCs w:val="32"/>
        </w:rPr>
      </w:pPr>
      <w:r>
        <w:rPr>
          <w:rFonts w:hint="eastAsia" w:ascii="仿宋_GB2312" w:hAnsi="黑体" w:eastAsia="仿宋_GB2312"/>
          <w:sz w:val="32"/>
          <w:szCs w:val="32"/>
        </w:rPr>
        <w:t>（五）公务卡优先原则。公务卡强制执行目录内业务原则上使用公务卡支付，无特殊情况不再办理借款手续。</w:t>
      </w:r>
    </w:p>
    <w:p>
      <w:pPr>
        <w:spacing w:line="560" w:lineRule="exact"/>
        <w:ind w:firstLine="709"/>
        <w:rPr>
          <w:rFonts w:ascii="仿宋_GB2312" w:hAnsi="黑体" w:eastAsia="仿宋_GB2312"/>
          <w:sz w:val="32"/>
          <w:szCs w:val="32"/>
        </w:rPr>
      </w:pPr>
      <w:r>
        <w:rPr>
          <w:rFonts w:hint="eastAsia" w:ascii="仿宋_GB2312" w:hAnsi="黑体" w:eastAsia="仿宋_GB2312"/>
          <w:sz w:val="32"/>
          <w:szCs w:val="32"/>
        </w:rPr>
        <w:t>（六）借款人限定原则。所有应收及预付款项借款人原则上为学校在职在编教职工。借款必须由本人经办，不得由他人代办。</w:t>
      </w:r>
    </w:p>
    <w:p>
      <w:pPr>
        <w:spacing w:line="560" w:lineRule="exact"/>
        <w:ind w:firstLine="709"/>
        <w:rPr>
          <w:rFonts w:ascii="仿宋_GB2312" w:hAnsi="黑体" w:eastAsia="仿宋_GB2312"/>
          <w:sz w:val="32"/>
          <w:szCs w:val="32"/>
        </w:rPr>
      </w:pPr>
      <w:r>
        <w:rPr>
          <w:rFonts w:hint="eastAsia" w:ascii="仿宋_GB2312" w:hAnsi="黑体" w:eastAsia="仿宋_GB2312"/>
          <w:sz w:val="32"/>
          <w:szCs w:val="32"/>
        </w:rPr>
        <w:t>（七）责任落实原则。对违反本管理办法的行为，将按违反财务纪律处理并纳入绩效考核，对造成损失的应承担赔偿责任。</w:t>
      </w:r>
    </w:p>
    <w:p>
      <w:pPr>
        <w:widowControl/>
        <w:shd w:val="clear" w:color="auto" w:fill="FFFFFF"/>
        <w:spacing w:line="560" w:lineRule="exact"/>
        <w:ind w:firstLine="709"/>
        <w:rPr>
          <w:rFonts w:ascii="仿宋_GB2312" w:hAnsi="黑体" w:eastAsia="仿宋_GB2312"/>
          <w:sz w:val="32"/>
          <w:szCs w:val="32"/>
        </w:rPr>
      </w:pPr>
      <w:r>
        <w:rPr>
          <w:rFonts w:hint="eastAsia" w:ascii="仿宋_GB2312" w:hAnsi="黑体" w:eastAsia="仿宋_GB2312"/>
          <w:b/>
          <w:sz w:val="32"/>
          <w:szCs w:val="32"/>
        </w:rPr>
        <w:t>第九条</w:t>
      </w:r>
      <w:r>
        <w:rPr>
          <w:rFonts w:hint="eastAsia" w:ascii="仿宋_GB2312" w:hAnsi="黑体" w:eastAsia="仿宋_GB2312"/>
          <w:sz w:val="32"/>
          <w:szCs w:val="32"/>
        </w:rPr>
        <w:t xml:space="preserve"> 应收及预付款借款的办理程序。</w:t>
      </w:r>
    </w:p>
    <w:p>
      <w:pPr>
        <w:spacing w:line="560" w:lineRule="exact"/>
        <w:ind w:firstLine="709"/>
        <w:rPr>
          <w:rFonts w:ascii="仿宋_GB2312" w:hAnsi="黑体" w:eastAsia="仿宋_GB2312"/>
          <w:sz w:val="32"/>
          <w:szCs w:val="32"/>
        </w:rPr>
      </w:pPr>
      <w:r>
        <w:rPr>
          <w:rFonts w:hint="eastAsia" w:ascii="仿宋_GB2312" w:hAnsi="黑体" w:eastAsia="仿宋_GB2312"/>
          <w:sz w:val="32"/>
          <w:szCs w:val="32"/>
        </w:rPr>
        <w:t>（一）填借款单。借款人必须认真、完整填写借款单，借款用途、借款金额和收款单位务必真实、准确。因信息提供错误，导致学校资金损失的，由借款人承担责任。</w:t>
      </w:r>
    </w:p>
    <w:p>
      <w:pPr>
        <w:spacing w:line="560" w:lineRule="exact"/>
        <w:ind w:firstLine="709"/>
        <w:rPr>
          <w:rFonts w:ascii="仿宋_GB2312" w:hAnsi="黑体" w:eastAsia="仿宋_GB2312"/>
          <w:sz w:val="32"/>
          <w:szCs w:val="32"/>
        </w:rPr>
      </w:pPr>
      <w:r>
        <w:rPr>
          <w:rFonts w:hint="eastAsia" w:ascii="仿宋_GB2312" w:hAnsi="黑体" w:eastAsia="仿宋_GB2312"/>
          <w:sz w:val="32"/>
          <w:szCs w:val="32"/>
        </w:rPr>
        <w:t>（二）审批借款。借款审批权限按照学校经费开支管理办法执行。</w:t>
      </w:r>
    </w:p>
    <w:p>
      <w:pPr>
        <w:spacing w:line="560" w:lineRule="exact"/>
        <w:ind w:firstLine="709"/>
        <w:rPr>
          <w:rFonts w:ascii="仿宋_GB2312" w:hAnsi="黑体" w:eastAsia="仿宋_GB2312"/>
          <w:sz w:val="32"/>
          <w:szCs w:val="32"/>
        </w:rPr>
      </w:pPr>
      <w:r>
        <w:rPr>
          <w:rFonts w:hint="eastAsia" w:ascii="仿宋_GB2312" w:hAnsi="黑体" w:eastAsia="仿宋_GB2312"/>
          <w:sz w:val="32"/>
          <w:szCs w:val="32"/>
        </w:rPr>
        <w:t>（三）办理借款。借款人凭手续齐全的借款单及经济业务相关的支撑材料（如合同、通知等）到财务部门办理相关业务，原则上无法提供支撑材料的不得办理借款业务。</w:t>
      </w:r>
    </w:p>
    <w:p>
      <w:pPr>
        <w:spacing w:line="560" w:lineRule="exact"/>
        <w:ind w:firstLine="709"/>
        <w:rPr>
          <w:rFonts w:ascii="仿宋_GB2312" w:hAnsi="黑体" w:eastAsia="仿宋_GB2312"/>
          <w:sz w:val="32"/>
          <w:szCs w:val="32"/>
        </w:rPr>
      </w:pPr>
      <w:r>
        <w:rPr>
          <w:rFonts w:hint="eastAsia" w:ascii="仿宋_GB2312" w:hAnsi="黑体" w:eastAsia="仿宋_GB2312"/>
          <w:sz w:val="32"/>
          <w:szCs w:val="32"/>
        </w:rPr>
        <w:t>（四）支付借款。借款实施转账支付，不办理现金借款。</w:t>
      </w:r>
    </w:p>
    <w:p>
      <w:pPr>
        <w:spacing w:line="560" w:lineRule="exact"/>
        <w:ind w:firstLine="709"/>
        <w:rPr>
          <w:rFonts w:ascii="仿宋_GB2312" w:hAnsi="黑体" w:eastAsia="仿宋_GB2312"/>
          <w:sz w:val="32"/>
          <w:szCs w:val="32"/>
        </w:rPr>
      </w:pPr>
      <w:r>
        <w:rPr>
          <w:rFonts w:hint="eastAsia" w:ascii="仿宋_GB2312" w:hAnsi="黑体" w:eastAsia="仿宋_GB2312"/>
          <w:sz w:val="32"/>
          <w:szCs w:val="32"/>
        </w:rPr>
        <w:t>（五）变更借款。教职工办理调出、离职、退休手续前，必须结清所有应收及预付款项。确因特殊原因不能结清的，由借款人提交书面申请，经借款经费部门主要负责人批准变更借款人，到财务部门办理借款人变更手续后，方可办理调出、离职、退休手续。</w:t>
      </w:r>
    </w:p>
    <w:p>
      <w:pPr>
        <w:widowControl/>
        <w:shd w:val="clear" w:color="auto" w:fill="FFFFFF"/>
        <w:spacing w:line="560" w:lineRule="exact"/>
        <w:ind w:firstLine="709"/>
        <w:rPr>
          <w:rFonts w:ascii="仿宋_GB2312" w:hAnsi="黑体" w:eastAsia="仿宋_GB2312"/>
          <w:sz w:val="32"/>
          <w:szCs w:val="32"/>
        </w:rPr>
      </w:pPr>
      <w:r>
        <w:rPr>
          <w:rFonts w:ascii="仿宋_GB2312" w:hAnsi="黑体" w:eastAsia="仿宋_GB2312"/>
          <w:b/>
          <w:sz w:val="32"/>
          <w:szCs w:val="32"/>
        </w:rPr>
        <w:t>第</w:t>
      </w:r>
      <w:r>
        <w:rPr>
          <w:rFonts w:hint="eastAsia" w:ascii="仿宋_GB2312" w:hAnsi="黑体" w:eastAsia="仿宋_GB2312"/>
          <w:b/>
          <w:sz w:val="32"/>
          <w:szCs w:val="32"/>
        </w:rPr>
        <w:t>十</w:t>
      </w:r>
      <w:r>
        <w:rPr>
          <w:rFonts w:ascii="仿宋_GB2312" w:hAnsi="黑体" w:eastAsia="仿宋_GB2312"/>
          <w:b/>
          <w:sz w:val="32"/>
          <w:szCs w:val="32"/>
        </w:rPr>
        <w:t>条</w:t>
      </w:r>
      <w:r>
        <w:rPr>
          <w:rFonts w:ascii="仿宋_GB2312" w:hAnsi="黑体" w:eastAsia="仿宋_GB2312"/>
          <w:sz w:val="32"/>
          <w:szCs w:val="32"/>
        </w:rPr>
        <w:t xml:space="preserve"> </w:t>
      </w:r>
      <w:r>
        <w:rPr>
          <w:rFonts w:hint="eastAsia" w:ascii="仿宋_GB2312" w:hAnsi="黑体" w:eastAsia="仿宋_GB2312"/>
          <w:sz w:val="32"/>
          <w:szCs w:val="32"/>
        </w:rPr>
        <w:t>应收及预付款项的管理责任。</w:t>
      </w:r>
    </w:p>
    <w:p>
      <w:pPr>
        <w:widowControl/>
        <w:shd w:val="clear" w:color="auto" w:fill="FFFFFF"/>
        <w:spacing w:line="560" w:lineRule="exact"/>
        <w:ind w:firstLine="709"/>
        <w:rPr>
          <w:rFonts w:ascii="仿宋_GB2312" w:hAnsi="黑体" w:eastAsia="仿宋_GB2312"/>
          <w:sz w:val="32"/>
          <w:szCs w:val="32"/>
        </w:rPr>
      </w:pPr>
      <w:r>
        <w:rPr>
          <w:rFonts w:hint="eastAsia" w:ascii="仿宋_GB2312" w:hAnsi="黑体" w:eastAsia="仿宋_GB2312"/>
          <w:sz w:val="32"/>
          <w:szCs w:val="32"/>
        </w:rPr>
        <w:t>（一）各部门</w:t>
      </w:r>
      <w:r>
        <w:rPr>
          <w:rFonts w:ascii="仿宋_GB2312" w:hAnsi="黑体" w:eastAsia="仿宋_GB2312"/>
          <w:sz w:val="32"/>
          <w:szCs w:val="32"/>
        </w:rPr>
        <w:t>应根据合同</w:t>
      </w:r>
      <w:r>
        <w:rPr>
          <w:rFonts w:hint="eastAsia" w:ascii="仿宋_GB2312" w:hAnsi="黑体" w:eastAsia="仿宋_GB2312"/>
          <w:sz w:val="32"/>
          <w:szCs w:val="32"/>
        </w:rPr>
        <w:t>或</w:t>
      </w:r>
      <w:r>
        <w:rPr>
          <w:rFonts w:ascii="仿宋_GB2312" w:hAnsi="黑体" w:eastAsia="仿宋_GB2312"/>
          <w:sz w:val="32"/>
          <w:szCs w:val="32"/>
        </w:rPr>
        <w:t>协议对应收账款进行催收，明确催收责任人，</w:t>
      </w:r>
      <w:r>
        <w:rPr>
          <w:rFonts w:hint="eastAsia" w:ascii="仿宋_GB2312" w:hAnsi="黑体" w:eastAsia="仿宋_GB2312"/>
          <w:sz w:val="32"/>
          <w:szCs w:val="32"/>
        </w:rPr>
        <w:t>及时办理核销手续。</w:t>
      </w:r>
      <w:r>
        <w:rPr>
          <w:rFonts w:ascii="仿宋_GB2312" w:hAnsi="黑体" w:eastAsia="仿宋_GB2312"/>
          <w:sz w:val="32"/>
          <w:szCs w:val="32"/>
        </w:rPr>
        <w:t>对逾期没有收回的，应追究相关</w:t>
      </w:r>
      <w:r>
        <w:rPr>
          <w:rFonts w:hint="eastAsia" w:ascii="仿宋_GB2312" w:hAnsi="黑体" w:eastAsia="仿宋_GB2312"/>
          <w:sz w:val="32"/>
          <w:szCs w:val="32"/>
        </w:rPr>
        <w:t>部门和</w:t>
      </w:r>
      <w:r>
        <w:rPr>
          <w:rFonts w:ascii="仿宋_GB2312" w:hAnsi="黑体" w:eastAsia="仿宋_GB2312"/>
          <w:sz w:val="32"/>
          <w:szCs w:val="32"/>
        </w:rPr>
        <w:t>责任人的责任，对因个人原因造成应收账款无法收回而给学校带来经济损失的，应由相关责任人赔偿全部损失。</w:t>
      </w:r>
    </w:p>
    <w:p>
      <w:pPr>
        <w:spacing w:line="560" w:lineRule="exact"/>
        <w:ind w:firstLine="709"/>
        <w:rPr>
          <w:rFonts w:ascii="仿宋_GB2312" w:hAnsi="黑体" w:eastAsia="仿宋_GB2312"/>
          <w:sz w:val="32"/>
          <w:szCs w:val="32"/>
        </w:rPr>
      </w:pPr>
      <w:r>
        <w:rPr>
          <w:rFonts w:hint="eastAsia" w:ascii="仿宋_GB2312" w:hAnsi="黑体" w:eastAsia="仿宋_GB2312"/>
          <w:sz w:val="32"/>
          <w:szCs w:val="32"/>
        </w:rPr>
        <w:t>（二）借款经费部门主要负责人发生变更，新任负责人必须对原任负责人核批过的借款负责，并督促借款人及时办理归还到期借款。</w:t>
      </w:r>
    </w:p>
    <w:p>
      <w:pPr>
        <w:spacing w:line="560" w:lineRule="exact"/>
        <w:ind w:firstLine="709"/>
        <w:rPr>
          <w:rFonts w:ascii="仿宋_GB2312" w:hAnsi="黑体" w:eastAsia="仿宋_GB2312"/>
          <w:sz w:val="32"/>
          <w:szCs w:val="32"/>
        </w:rPr>
      </w:pPr>
      <w:r>
        <w:rPr>
          <w:rFonts w:hint="eastAsia" w:ascii="仿宋_GB2312" w:hAnsi="黑体" w:eastAsia="仿宋_GB2312"/>
          <w:sz w:val="32"/>
          <w:szCs w:val="32"/>
        </w:rPr>
        <w:t>（三）财务部门办理应收及预付款支付业务时，应严格审核，并定期清理。每年年终财务报销截止日作为当年所有到期应收及预付款报销冲账的最后时限。如确有特殊情况不能报销，借款人应在截止日前15日内书面申述原因，经部门主要负责人签署意见、盖章后送财务部门。</w:t>
      </w:r>
    </w:p>
    <w:p>
      <w:pPr>
        <w:widowControl/>
        <w:shd w:val="clear" w:color="auto" w:fill="FFFFFF"/>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四）对于借款逾期超过一年以上的借款，财务部门催收后仍不办理报销或还款手续且无正当理由的，学校将暂缓发放借款人的校内绩效工资或退休工资，直至相关应收及预付款项核销为止。情节严重或性质恶劣，将上报学校纪委按相关规定处理。</w:t>
      </w:r>
    </w:p>
    <w:p>
      <w:pPr>
        <w:widowControl/>
        <w:shd w:val="clear" w:color="auto" w:fill="FFFFFF"/>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五）对无正当理由未按要求及时办理预付款项结账手续的，财务部门可拒绝支付该部门同类性质的预付款项和暂停预付账款所属项目用款，情节严重的，财务部门可暂停该部门公用经费用款，直至已付预付账款结账完毕。</w:t>
      </w:r>
    </w:p>
    <w:p>
      <w:pPr>
        <w:widowControl/>
        <w:shd w:val="clear" w:color="auto" w:fill="FFFFFF"/>
        <w:spacing w:line="560" w:lineRule="exact"/>
        <w:jc w:val="center"/>
        <w:rPr>
          <w:rFonts w:ascii="黑体" w:hAnsi="黑体" w:eastAsia="黑体"/>
          <w:sz w:val="32"/>
          <w:szCs w:val="32"/>
        </w:rPr>
      </w:pPr>
      <w:r>
        <w:rPr>
          <w:rFonts w:ascii="黑体" w:hAnsi="黑体" w:eastAsia="黑体"/>
          <w:sz w:val="32"/>
          <w:szCs w:val="32"/>
        </w:rPr>
        <w:t xml:space="preserve">第三章 </w:t>
      </w:r>
      <w:r>
        <w:rPr>
          <w:rFonts w:hint="eastAsia" w:ascii="黑体" w:hAnsi="黑体" w:eastAsia="黑体"/>
          <w:sz w:val="32"/>
          <w:szCs w:val="32"/>
        </w:rPr>
        <w:t xml:space="preserve"> </w:t>
      </w:r>
      <w:r>
        <w:rPr>
          <w:rFonts w:ascii="黑体" w:hAnsi="黑体" w:eastAsia="黑体"/>
          <w:sz w:val="32"/>
          <w:szCs w:val="32"/>
        </w:rPr>
        <w:t>应付及预收款项的管理</w:t>
      </w:r>
    </w:p>
    <w:p>
      <w:pPr>
        <w:widowControl/>
        <w:shd w:val="clear" w:color="auto" w:fill="FFFFFF"/>
        <w:spacing w:line="560" w:lineRule="exact"/>
        <w:ind w:firstLine="709"/>
        <w:rPr>
          <w:rFonts w:ascii="仿宋_GB2312" w:hAnsi="黑体" w:eastAsia="仿宋_GB2312"/>
          <w:sz w:val="32"/>
          <w:szCs w:val="32"/>
        </w:rPr>
      </w:pPr>
      <w:r>
        <w:rPr>
          <w:rFonts w:ascii="仿宋_GB2312" w:hAnsi="黑体" w:eastAsia="仿宋_GB2312"/>
          <w:b/>
          <w:sz w:val="32"/>
          <w:szCs w:val="32"/>
        </w:rPr>
        <w:t>第十</w:t>
      </w:r>
      <w:r>
        <w:rPr>
          <w:rFonts w:hint="eastAsia" w:ascii="仿宋_GB2312" w:hAnsi="黑体" w:eastAsia="仿宋_GB2312"/>
          <w:b/>
          <w:sz w:val="32"/>
          <w:szCs w:val="32"/>
        </w:rPr>
        <w:t>一</w:t>
      </w:r>
      <w:r>
        <w:rPr>
          <w:rFonts w:ascii="仿宋_GB2312" w:hAnsi="黑体" w:eastAsia="仿宋_GB2312"/>
          <w:b/>
          <w:sz w:val="32"/>
          <w:szCs w:val="32"/>
        </w:rPr>
        <w:t>条</w:t>
      </w:r>
      <w:r>
        <w:rPr>
          <w:rFonts w:ascii="仿宋_GB2312" w:hAnsi="黑体" w:eastAsia="仿宋_GB2312"/>
          <w:sz w:val="32"/>
          <w:szCs w:val="32"/>
        </w:rPr>
        <w:t xml:space="preserve"> 应付账款是指学校因</w:t>
      </w:r>
      <w:r>
        <w:rPr>
          <w:rFonts w:hint="eastAsia" w:ascii="仿宋_GB2312" w:hAnsi="黑体" w:eastAsia="仿宋_GB2312"/>
          <w:sz w:val="32"/>
          <w:szCs w:val="32"/>
        </w:rPr>
        <w:t>购买物资、接受服务、开展工程建设</w:t>
      </w:r>
      <w:r>
        <w:rPr>
          <w:rFonts w:ascii="仿宋_GB2312" w:hAnsi="黑体" w:eastAsia="仿宋_GB2312"/>
          <w:sz w:val="32"/>
          <w:szCs w:val="32"/>
        </w:rPr>
        <w:t>等应付的偿还期限在1年以内（含1年）的款项。预收账款是指学校根据合同或协议规定预收</w:t>
      </w:r>
      <w:r>
        <w:rPr>
          <w:rFonts w:hint="eastAsia" w:ascii="仿宋_GB2312" w:hAnsi="黑体" w:eastAsia="仿宋_GB2312"/>
          <w:sz w:val="32"/>
          <w:szCs w:val="32"/>
        </w:rPr>
        <w:t>但尚未结算</w:t>
      </w:r>
      <w:r>
        <w:rPr>
          <w:rFonts w:ascii="仿宋_GB2312" w:hAnsi="黑体" w:eastAsia="仿宋_GB2312"/>
          <w:sz w:val="32"/>
          <w:szCs w:val="32"/>
        </w:rPr>
        <w:t>的款项。其他应付款是指学校除应缴税费、应缴国库款、应缴财政专户款、应付职工薪酬、应付票据、应付账款、预收账款之外的其他各项偿还或结算期限在1年内（含1年）的应付及暂收款项。</w:t>
      </w:r>
    </w:p>
    <w:p>
      <w:pPr>
        <w:widowControl/>
        <w:shd w:val="clear" w:color="auto" w:fill="FFFFFF"/>
        <w:spacing w:line="560" w:lineRule="exact"/>
        <w:ind w:firstLine="709"/>
        <w:rPr>
          <w:rFonts w:ascii="仿宋_GB2312" w:hAnsi="黑体" w:eastAsia="仿宋_GB2312"/>
          <w:sz w:val="32"/>
          <w:szCs w:val="32"/>
        </w:rPr>
      </w:pPr>
      <w:r>
        <w:rPr>
          <w:rFonts w:hint="eastAsia" w:ascii="仿宋_GB2312" w:hAnsi="黑体" w:eastAsia="仿宋_GB2312"/>
          <w:b/>
          <w:sz w:val="32"/>
          <w:szCs w:val="32"/>
        </w:rPr>
        <w:t>第十二条</w:t>
      </w:r>
      <w:r>
        <w:rPr>
          <w:rFonts w:hint="eastAsia" w:ascii="仿宋_GB2312" w:hAnsi="黑体" w:eastAsia="仿宋_GB2312"/>
          <w:sz w:val="32"/>
          <w:szCs w:val="32"/>
        </w:rPr>
        <w:t xml:space="preserve"> 应付及预收款项的管理原则。</w:t>
      </w:r>
    </w:p>
    <w:p>
      <w:pPr>
        <w:pStyle w:val="8"/>
        <w:spacing w:line="560" w:lineRule="exact"/>
        <w:ind w:firstLine="640"/>
      </w:pPr>
      <w:r>
        <w:rPr>
          <w:rFonts w:hint="eastAsia" w:ascii="仿宋" w:hAnsi="仿宋" w:eastAsia="仿宋"/>
          <w:color w:val="000000"/>
          <w:sz w:val="32"/>
          <w:szCs w:val="32"/>
        </w:rPr>
        <w:t>（一）预算控制原则。所有应付及预收款项应有相应的经费来源和经费预算。</w:t>
      </w:r>
    </w:p>
    <w:p>
      <w:pPr>
        <w:widowControl/>
        <w:shd w:val="clear" w:color="auto" w:fill="FFFFFF"/>
        <w:spacing w:line="560" w:lineRule="exact"/>
        <w:ind w:firstLine="709"/>
        <w:rPr>
          <w:rFonts w:ascii="仿宋_GB2312" w:hAnsi="黑体" w:eastAsia="仿宋_GB2312"/>
          <w:sz w:val="32"/>
          <w:szCs w:val="32"/>
        </w:rPr>
      </w:pPr>
      <w:r>
        <w:rPr>
          <w:rFonts w:hint="eastAsia" w:ascii="仿宋_GB2312" w:hAnsi="黑体" w:eastAsia="仿宋_GB2312"/>
          <w:sz w:val="32"/>
          <w:szCs w:val="32"/>
        </w:rPr>
        <w:t>（二）分类管理原则。应付及预收款项应根据有关规定和学校管理需要设置明细科目分类管理。</w:t>
      </w:r>
    </w:p>
    <w:p>
      <w:pPr>
        <w:pStyle w:val="8"/>
        <w:spacing w:line="560" w:lineRule="exact"/>
        <w:ind w:firstLine="640"/>
      </w:pPr>
      <w:r>
        <w:rPr>
          <w:rFonts w:hint="eastAsia" w:ascii="仿宋" w:hAnsi="仿宋" w:eastAsia="仿宋"/>
          <w:color w:val="000000"/>
          <w:sz w:val="32"/>
          <w:szCs w:val="32"/>
        </w:rPr>
        <w:t>（三）权责明确原则。所有应付及预收款项应当根据上级主管部门要求和合同签订中的权利和责任进行形成、存续和处置的全过程管理。</w:t>
      </w:r>
    </w:p>
    <w:p>
      <w:pPr>
        <w:widowControl/>
        <w:shd w:val="clear" w:color="auto" w:fill="FFFFFF"/>
        <w:spacing w:line="560" w:lineRule="exact"/>
        <w:ind w:firstLine="709"/>
        <w:rPr>
          <w:rFonts w:ascii="仿宋_GB2312" w:hAnsi="黑体" w:eastAsia="仿宋_GB2312"/>
          <w:sz w:val="32"/>
          <w:szCs w:val="32"/>
        </w:rPr>
      </w:pPr>
      <w:r>
        <w:rPr>
          <w:rFonts w:hint="eastAsia" w:ascii="仿宋_GB2312" w:hAnsi="黑体" w:eastAsia="仿宋_GB2312"/>
          <w:sz w:val="32"/>
          <w:szCs w:val="32"/>
        </w:rPr>
        <w:t>（四）及时确认原则。</w:t>
      </w:r>
      <w:r>
        <w:rPr>
          <w:rFonts w:hint="eastAsia" w:ascii="仿宋" w:hAnsi="仿宋" w:eastAsia="仿宋"/>
          <w:color w:val="000000"/>
          <w:sz w:val="32"/>
          <w:szCs w:val="32"/>
        </w:rPr>
        <w:t>收到来款后，应及时查明款项来源，及时办理收入确认手续。</w:t>
      </w:r>
    </w:p>
    <w:p>
      <w:pPr>
        <w:widowControl/>
        <w:shd w:val="clear" w:color="auto" w:fill="FFFFFF"/>
        <w:spacing w:line="560" w:lineRule="exact"/>
        <w:ind w:firstLine="709"/>
        <w:rPr>
          <w:rFonts w:ascii="仿宋_GB2312" w:hAnsi="黑体" w:eastAsia="仿宋_GB2312"/>
          <w:sz w:val="32"/>
          <w:szCs w:val="32"/>
        </w:rPr>
      </w:pPr>
      <w:r>
        <w:rPr>
          <w:rFonts w:hint="eastAsia" w:ascii="仿宋_GB2312" w:hAnsi="黑体" w:eastAsia="仿宋_GB2312"/>
          <w:sz w:val="32"/>
          <w:szCs w:val="32"/>
        </w:rPr>
        <w:t>（五）定期清理原则。应付及预收款项应当及时清理，应按规定及时办理入账、结算手续，不得长期挂账。</w:t>
      </w:r>
    </w:p>
    <w:p>
      <w:pPr>
        <w:widowControl/>
        <w:shd w:val="clear" w:color="auto" w:fill="FFFFFF"/>
        <w:spacing w:line="560" w:lineRule="exact"/>
        <w:ind w:firstLine="709"/>
        <w:rPr>
          <w:rFonts w:ascii="仿宋_GB2312" w:hAnsi="黑体" w:eastAsia="仿宋_GB2312"/>
          <w:sz w:val="32"/>
          <w:szCs w:val="32"/>
        </w:rPr>
      </w:pPr>
      <w:r>
        <w:rPr>
          <w:rFonts w:hint="eastAsia" w:ascii="仿宋_GB2312" w:hAnsi="黑体" w:eastAsia="仿宋_GB2312"/>
          <w:b/>
          <w:sz w:val="32"/>
          <w:szCs w:val="32"/>
        </w:rPr>
        <w:t>第十三条</w:t>
      </w:r>
      <w:r>
        <w:rPr>
          <w:rFonts w:hint="eastAsia"/>
          <w:b/>
          <w:sz w:val="32"/>
          <w:szCs w:val="32"/>
        </w:rPr>
        <w:t> </w:t>
      </w:r>
      <w:r>
        <w:rPr>
          <w:rFonts w:hint="eastAsia" w:ascii="仿宋" w:hAnsi="仿宋" w:eastAsia="仿宋"/>
          <w:color w:val="000000"/>
          <w:sz w:val="32"/>
          <w:szCs w:val="32"/>
        </w:rPr>
        <w:t>应付及预收款项的</w:t>
      </w:r>
      <w:r>
        <w:rPr>
          <w:rFonts w:hint="eastAsia" w:ascii="仿宋_GB2312" w:hAnsi="黑体" w:eastAsia="仿宋_GB2312"/>
          <w:sz w:val="32"/>
          <w:szCs w:val="32"/>
        </w:rPr>
        <w:t>管理责任。</w:t>
      </w:r>
    </w:p>
    <w:p>
      <w:pPr>
        <w:widowControl/>
        <w:shd w:val="clear" w:color="auto" w:fill="FFFFFF"/>
        <w:spacing w:line="560" w:lineRule="exact"/>
        <w:ind w:firstLine="709"/>
        <w:rPr>
          <w:rFonts w:ascii="仿宋" w:hAnsi="仿宋" w:eastAsia="仿宋"/>
          <w:color w:val="000000"/>
          <w:sz w:val="32"/>
          <w:szCs w:val="32"/>
        </w:rPr>
      </w:pPr>
      <w:r>
        <w:rPr>
          <w:rFonts w:hint="eastAsia" w:ascii="仿宋" w:hAnsi="仿宋" w:eastAsia="仿宋"/>
          <w:color w:val="000000"/>
          <w:sz w:val="32"/>
          <w:szCs w:val="32"/>
        </w:rPr>
        <w:t>（一）财务部门应加强对应付及预收款项的管理，及时公布到款信息，供有关部门、人员查询、认领，尽快办理入账手续。对已查明来源、符合收入确认条件的款项，应及时确认收入。</w:t>
      </w:r>
    </w:p>
    <w:p>
      <w:pPr>
        <w:widowControl/>
        <w:shd w:val="clear" w:color="auto" w:fill="FFFFFF"/>
        <w:spacing w:line="560" w:lineRule="exact"/>
        <w:ind w:firstLine="709"/>
        <w:rPr>
          <w:rFonts w:ascii="仿宋" w:hAnsi="仿宋" w:eastAsia="仿宋"/>
          <w:color w:val="000000"/>
          <w:sz w:val="32"/>
          <w:szCs w:val="32"/>
        </w:rPr>
      </w:pPr>
      <w:r>
        <w:rPr>
          <w:rFonts w:hint="eastAsia" w:ascii="仿宋" w:hAnsi="仿宋" w:eastAsia="仿宋"/>
          <w:color w:val="000000"/>
          <w:sz w:val="32"/>
          <w:szCs w:val="32"/>
        </w:rPr>
        <w:t>（二）</w:t>
      </w:r>
      <w:r>
        <w:rPr>
          <w:rFonts w:hint="eastAsia" w:ascii="仿宋_GB2312" w:hAnsi="黑体" w:eastAsia="仿宋_GB2312"/>
          <w:sz w:val="32"/>
          <w:szCs w:val="32"/>
        </w:rPr>
        <w:t>财务部门年末对应付及</w:t>
      </w:r>
      <w:r>
        <w:rPr>
          <w:rFonts w:hint="eastAsia" w:ascii="仿宋" w:hAnsi="仿宋" w:eastAsia="仿宋"/>
          <w:color w:val="000000"/>
          <w:sz w:val="32"/>
          <w:szCs w:val="32"/>
        </w:rPr>
        <w:t>预收款项进行集中清理，逐项查明发生日期及相关责任部门或责任人，各部门应认真配合财务部门组织的清理工作。</w:t>
      </w:r>
    </w:p>
    <w:p>
      <w:pPr>
        <w:widowControl/>
        <w:shd w:val="clear" w:color="auto" w:fill="FFFFFF"/>
        <w:spacing w:line="560" w:lineRule="exact"/>
        <w:ind w:firstLine="709"/>
        <w:rPr>
          <w:rFonts w:ascii="仿宋" w:hAnsi="仿宋" w:eastAsia="仿宋"/>
          <w:color w:val="000000"/>
          <w:sz w:val="32"/>
          <w:szCs w:val="32"/>
        </w:rPr>
      </w:pPr>
      <w:r>
        <w:rPr>
          <w:rFonts w:hint="eastAsia" w:ascii="仿宋" w:hAnsi="仿宋" w:eastAsia="仿宋"/>
          <w:color w:val="000000"/>
          <w:sz w:val="32"/>
          <w:szCs w:val="32"/>
        </w:rPr>
        <w:t>（三）各部门应对签署或承办的合同或协议中约定的应付及预收款项负责，确保按约定支付，防范法律风险，并</w:t>
      </w:r>
      <w:r>
        <w:rPr>
          <w:rFonts w:hint="eastAsia" w:ascii="仿宋_GB2312" w:hAnsi="黑体" w:eastAsia="仿宋_GB2312"/>
          <w:sz w:val="32"/>
          <w:szCs w:val="32"/>
        </w:rPr>
        <w:t>提醒付款人必须将收款人姓名、部门、款项用途等信息在付款时备注清楚，避免</w:t>
      </w:r>
      <w:r>
        <w:rPr>
          <w:rFonts w:ascii="仿宋_GB2312" w:hAnsi="黑体" w:eastAsia="仿宋_GB2312"/>
          <w:sz w:val="32"/>
          <w:szCs w:val="32"/>
        </w:rPr>
        <w:t>预收</w:t>
      </w:r>
      <w:r>
        <w:rPr>
          <w:rFonts w:hint="eastAsia" w:ascii="仿宋_GB2312" w:hAnsi="黑体" w:eastAsia="仿宋_GB2312"/>
          <w:sz w:val="32"/>
          <w:szCs w:val="32"/>
        </w:rPr>
        <w:t>及其他应付款长期无人认领</w:t>
      </w:r>
    </w:p>
    <w:p>
      <w:pPr>
        <w:widowControl/>
        <w:shd w:val="clear" w:color="auto" w:fill="FFFFFF"/>
        <w:spacing w:line="560" w:lineRule="exact"/>
        <w:ind w:firstLine="709"/>
        <w:rPr>
          <w:rFonts w:ascii="仿宋" w:hAnsi="仿宋" w:eastAsia="仿宋"/>
          <w:color w:val="000000"/>
          <w:sz w:val="32"/>
          <w:szCs w:val="32"/>
        </w:rPr>
      </w:pPr>
      <w:r>
        <w:rPr>
          <w:rFonts w:hint="eastAsia" w:ascii="仿宋" w:hAnsi="仿宋" w:eastAsia="仿宋"/>
          <w:color w:val="000000"/>
          <w:sz w:val="32"/>
          <w:szCs w:val="32"/>
        </w:rPr>
        <w:t>（四）各部门应及时关注来款信息，严格依据资金来源用途和要求，及时认领相关款项，及时取得相关票据、回单并到财务部门办理账务手续。认领部门掌握来款单位关于资金管理的相关文件或特殊管理要求的，应主动提供财务部门，能提供而未提供的，由认领部门承担全部管理责任。</w:t>
      </w:r>
    </w:p>
    <w:p>
      <w:pPr>
        <w:widowControl/>
        <w:shd w:val="clear" w:color="auto" w:fill="FFFFFF"/>
        <w:spacing w:line="560" w:lineRule="exact"/>
        <w:jc w:val="center"/>
        <w:rPr>
          <w:rFonts w:ascii="黑体" w:hAnsi="黑体" w:eastAsia="黑体"/>
          <w:sz w:val="32"/>
          <w:szCs w:val="32"/>
        </w:rPr>
      </w:pPr>
      <w:r>
        <w:rPr>
          <w:rFonts w:ascii="黑体" w:hAnsi="黑体" w:eastAsia="黑体"/>
          <w:sz w:val="32"/>
          <w:szCs w:val="32"/>
        </w:rPr>
        <w:t>第</w:t>
      </w:r>
      <w:r>
        <w:rPr>
          <w:rFonts w:hint="eastAsia" w:ascii="黑体" w:hAnsi="黑体" w:eastAsia="黑体"/>
          <w:sz w:val="32"/>
          <w:szCs w:val="32"/>
        </w:rPr>
        <w:t>四</w:t>
      </w:r>
      <w:r>
        <w:rPr>
          <w:rFonts w:ascii="黑体" w:hAnsi="黑体" w:eastAsia="黑体"/>
          <w:sz w:val="32"/>
          <w:szCs w:val="32"/>
        </w:rPr>
        <w:t xml:space="preserve">章 </w:t>
      </w:r>
      <w:r>
        <w:rPr>
          <w:rFonts w:hint="eastAsia" w:ascii="黑体" w:hAnsi="黑体" w:eastAsia="黑体"/>
          <w:sz w:val="32"/>
          <w:szCs w:val="32"/>
        </w:rPr>
        <w:t xml:space="preserve"> 往来款</w:t>
      </w:r>
      <w:r>
        <w:rPr>
          <w:rFonts w:ascii="黑体" w:hAnsi="黑体" w:eastAsia="黑体"/>
          <w:sz w:val="32"/>
          <w:szCs w:val="32"/>
        </w:rPr>
        <w:t>项的</w:t>
      </w:r>
      <w:r>
        <w:rPr>
          <w:rFonts w:hint="eastAsia" w:ascii="黑体" w:hAnsi="黑体" w:eastAsia="黑体"/>
          <w:sz w:val="32"/>
          <w:szCs w:val="32"/>
        </w:rPr>
        <w:t>核销</w:t>
      </w:r>
    </w:p>
    <w:p>
      <w:pPr>
        <w:widowControl/>
        <w:shd w:val="clear" w:color="auto" w:fill="FFFFFF"/>
        <w:spacing w:line="560" w:lineRule="exact"/>
        <w:ind w:firstLine="709"/>
        <w:rPr>
          <w:rFonts w:ascii="仿宋_GB2312" w:hAnsi="黑体" w:eastAsia="仿宋_GB2312"/>
          <w:sz w:val="32"/>
          <w:szCs w:val="32"/>
        </w:rPr>
      </w:pPr>
      <w:r>
        <w:rPr>
          <w:rFonts w:hint="eastAsia" w:ascii="仿宋_GB2312" w:hAnsi="黑体" w:eastAsia="仿宋_GB2312"/>
          <w:b/>
          <w:sz w:val="32"/>
          <w:szCs w:val="32"/>
        </w:rPr>
        <w:t>第十四条</w:t>
      </w:r>
      <w:r>
        <w:rPr>
          <w:rFonts w:hint="eastAsia" w:ascii="仿宋_GB2312" w:hAnsi="黑体" w:eastAsia="仿宋_GB2312"/>
          <w:sz w:val="32"/>
          <w:szCs w:val="32"/>
        </w:rPr>
        <w:t xml:space="preserve"> 应收及预付款项的核销。</w:t>
      </w:r>
    </w:p>
    <w:p>
      <w:pPr>
        <w:widowControl/>
        <w:shd w:val="clear" w:color="auto" w:fill="FFFFFF"/>
        <w:spacing w:line="560" w:lineRule="exact"/>
        <w:ind w:firstLine="709"/>
        <w:rPr>
          <w:rFonts w:ascii="仿宋_GB2312" w:hAnsi="黑体" w:eastAsia="仿宋_GB2312"/>
          <w:sz w:val="32"/>
          <w:szCs w:val="32"/>
        </w:rPr>
      </w:pPr>
      <w:r>
        <w:rPr>
          <w:rFonts w:hint="eastAsia" w:ascii="仿宋_GB2312" w:hAnsi="黑体" w:eastAsia="仿宋_GB2312"/>
          <w:sz w:val="32"/>
          <w:szCs w:val="32"/>
        </w:rPr>
        <w:t>应收及预付款项须在业务完毕后一个月之内到财务部门及时办理核销手续。因特殊原因不能及时核销应收及预付款项的，借款人原则上可申请延期（一般不得超过3个月），需向财务部门提交延期核销申请，明确延期核销日期。延期申请经部门主要负责人审批同意后提交财务部门办理。已经在财务部门办理借款而由于计划变更等原因，不能及时使用的，须在借款后10日内将借款交回。</w:t>
      </w:r>
    </w:p>
    <w:p>
      <w:pPr>
        <w:widowControl/>
        <w:shd w:val="clear" w:color="auto" w:fill="FFFFFF"/>
        <w:spacing w:line="560" w:lineRule="exact"/>
        <w:ind w:firstLine="709"/>
        <w:rPr>
          <w:rFonts w:ascii="仿宋_GB2312" w:hAnsi="黑体" w:eastAsia="仿宋_GB2312"/>
          <w:sz w:val="32"/>
          <w:szCs w:val="32"/>
        </w:rPr>
      </w:pPr>
      <w:r>
        <w:rPr>
          <w:rFonts w:ascii="仿宋_GB2312" w:hAnsi="黑体" w:eastAsia="仿宋_GB2312"/>
          <w:b/>
          <w:sz w:val="32"/>
          <w:szCs w:val="32"/>
        </w:rPr>
        <w:t>第</w:t>
      </w:r>
      <w:r>
        <w:rPr>
          <w:rFonts w:hint="eastAsia" w:ascii="仿宋_GB2312" w:hAnsi="黑体" w:eastAsia="仿宋_GB2312"/>
          <w:b/>
          <w:sz w:val="32"/>
          <w:szCs w:val="32"/>
        </w:rPr>
        <w:t>十五</w:t>
      </w:r>
      <w:r>
        <w:rPr>
          <w:rFonts w:ascii="仿宋_GB2312" w:hAnsi="黑体" w:eastAsia="仿宋_GB2312"/>
          <w:b/>
          <w:sz w:val="32"/>
          <w:szCs w:val="32"/>
        </w:rPr>
        <w:t>条</w:t>
      </w:r>
      <w:r>
        <w:rPr>
          <w:rFonts w:hint="eastAsia" w:ascii="仿宋_GB2312" w:hAnsi="黑体" w:eastAsia="仿宋_GB2312"/>
          <w:b/>
          <w:sz w:val="32"/>
          <w:szCs w:val="32"/>
        </w:rPr>
        <w:t xml:space="preserve"> </w:t>
      </w:r>
      <w:r>
        <w:rPr>
          <w:rFonts w:hint="eastAsia" w:ascii="仿宋_GB2312" w:hAnsi="黑体" w:eastAsia="仿宋_GB2312"/>
          <w:sz w:val="32"/>
          <w:szCs w:val="32"/>
        </w:rPr>
        <w:t>坏账损失的处理。</w:t>
      </w:r>
    </w:p>
    <w:p>
      <w:pPr>
        <w:widowControl/>
        <w:shd w:val="clear" w:color="auto" w:fill="FFFFFF"/>
        <w:spacing w:line="560" w:lineRule="exact"/>
        <w:ind w:firstLine="709"/>
        <w:rPr>
          <w:rFonts w:ascii="仿宋_GB2312" w:hAnsi="黑体" w:eastAsia="仿宋_GB2312"/>
          <w:sz w:val="32"/>
          <w:szCs w:val="32"/>
        </w:rPr>
      </w:pPr>
      <w:r>
        <w:rPr>
          <w:rFonts w:ascii="仿宋_GB2312" w:hAnsi="黑体" w:eastAsia="仿宋_GB2312"/>
          <w:sz w:val="32"/>
          <w:szCs w:val="32"/>
        </w:rPr>
        <w:t>（</w:t>
      </w:r>
      <w:r>
        <w:rPr>
          <w:rFonts w:hint="eastAsia" w:ascii="仿宋_GB2312" w:hAnsi="黑体" w:eastAsia="仿宋_GB2312"/>
          <w:sz w:val="32"/>
          <w:szCs w:val="32"/>
        </w:rPr>
        <w:t>一</w:t>
      </w:r>
      <w:r>
        <w:rPr>
          <w:rFonts w:ascii="仿宋_GB2312" w:hAnsi="黑体" w:eastAsia="仿宋_GB2312"/>
          <w:sz w:val="32"/>
          <w:szCs w:val="32"/>
        </w:rPr>
        <w:t>）因各种原因确实无法收回的应收及预付款项可确认为坏账。对已确认为坏账的应收及预付款项不得长期挂账，应按相应规定核销，并确认为学校支出。</w:t>
      </w:r>
    </w:p>
    <w:p>
      <w:pPr>
        <w:widowControl/>
        <w:shd w:val="clear" w:color="auto" w:fill="FFFFFF"/>
        <w:spacing w:line="560" w:lineRule="exact"/>
        <w:ind w:firstLine="709"/>
        <w:rPr>
          <w:rFonts w:ascii="仿宋" w:hAnsi="仿宋" w:eastAsia="仿宋" w:cs="宋体"/>
          <w:color w:val="000000"/>
          <w:kern w:val="0"/>
          <w:sz w:val="32"/>
          <w:szCs w:val="32"/>
        </w:rPr>
      </w:pPr>
      <w:r>
        <w:rPr>
          <w:rFonts w:ascii="仿宋_GB2312" w:hAnsi="黑体" w:eastAsia="仿宋_GB2312"/>
          <w:sz w:val="32"/>
          <w:szCs w:val="32"/>
        </w:rPr>
        <w:t>（</w:t>
      </w:r>
      <w:r>
        <w:rPr>
          <w:rFonts w:hint="eastAsia" w:ascii="仿宋_GB2312" w:hAnsi="黑体" w:eastAsia="仿宋_GB2312"/>
          <w:sz w:val="32"/>
          <w:szCs w:val="32"/>
        </w:rPr>
        <w:t>二</w:t>
      </w:r>
      <w:r>
        <w:rPr>
          <w:rFonts w:ascii="仿宋_GB2312" w:hAnsi="黑体" w:eastAsia="仿宋_GB2312"/>
          <w:sz w:val="32"/>
          <w:szCs w:val="32"/>
        </w:rPr>
        <w:t>）</w:t>
      </w:r>
      <w:r>
        <w:rPr>
          <w:rFonts w:hint="eastAsia" w:ascii="仿宋" w:hAnsi="仿宋" w:eastAsia="仿宋" w:cs="宋体"/>
          <w:color w:val="000000"/>
          <w:kern w:val="0"/>
          <w:sz w:val="32"/>
          <w:szCs w:val="32"/>
        </w:rPr>
        <w:t>清查出的各项坏账，应当分析原因，对有合法证据证明确实不能收回的应收及预付款项，其核销须由责任部门提出申请，说明原因，并提交证明材料，财务部门根据责任部门提供的材料以及社会中介机构出具的经济鉴证证明提出初步审核意见，报院长办公会、学校党委会审定，财务部门将审批文件及相关资料报市财政局审批，并根据市财政局批复进行坏账核销处理。</w:t>
      </w:r>
    </w:p>
    <w:p>
      <w:pPr>
        <w:widowControl/>
        <w:shd w:val="clear" w:color="auto" w:fill="FFFFFF"/>
        <w:spacing w:line="560" w:lineRule="exact"/>
        <w:ind w:firstLine="709"/>
        <w:rPr>
          <w:rFonts w:ascii="仿宋_GB2312" w:hAnsi="黑体" w:eastAsia="仿宋_GB2312"/>
          <w:sz w:val="32"/>
          <w:szCs w:val="32"/>
        </w:rPr>
      </w:pPr>
      <w:r>
        <w:rPr>
          <w:rFonts w:hint="eastAsia" w:ascii="仿宋_GB2312" w:hAnsi="黑体" w:eastAsia="仿宋_GB2312"/>
          <w:sz w:val="32"/>
          <w:szCs w:val="32"/>
        </w:rPr>
        <w:t>（三）坏账报损前，学校通过公告、诉讼等方式向债务人、担保人或责任人追索。已作为坏账核销的应收及预付款项，由财务部门逐笔做备查登记，实行“账销案存”的方式管理。</w:t>
      </w:r>
    </w:p>
    <w:p>
      <w:pPr>
        <w:widowControl/>
        <w:shd w:val="clear" w:color="auto" w:fill="FFFFFF"/>
        <w:spacing w:line="560" w:lineRule="exact"/>
        <w:ind w:firstLine="709"/>
        <w:rPr>
          <w:rFonts w:ascii="仿宋_GB2312" w:hAnsi="黑体" w:eastAsia="仿宋_GB2312"/>
          <w:sz w:val="32"/>
          <w:szCs w:val="32"/>
        </w:rPr>
      </w:pPr>
      <w:r>
        <w:rPr>
          <w:rFonts w:ascii="仿宋_GB2312" w:hAnsi="黑体" w:eastAsia="仿宋_GB2312"/>
          <w:sz w:val="32"/>
          <w:szCs w:val="32"/>
        </w:rPr>
        <w:t>（</w:t>
      </w:r>
      <w:r>
        <w:rPr>
          <w:rFonts w:hint="eastAsia" w:ascii="仿宋_GB2312" w:hAnsi="黑体" w:eastAsia="仿宋_GB2312"/>
          <w:sz w:val="32"/>
          <w:szCs w:val="32"/>
        </w:rPr>
        <w:t>四</w:t>
      </w:r>
      <w:r>
        <w:rPr>
          <w:rFonts w:ascii="仿宋_GB2312" w:hAnsi="黑体" w:eastAsia="仿宋_GB2312"/>
          <w:sz w:val="32"/>
          <w:szCs w:val="32"/>
        </w:rPr>
        <w:t>）</w:t>
      </w:r>
      <w:r>
        <w:rPr>
          <w:rFonts w:hint="eastAsia" w:ascii="仿宋_GB2312" w:hAnsi="黑体" w:eastAsia="仿宋_GB2312"/>
          <w:sz w:val="32"/>
          <w:szCs w:val="32"/>
        </w:rPr>
        <w:t>对于已作为坏账核销的应收及预付款项，学校有追偿的权利和义务，如款项有收回的可能，相关部门及个人应积极配合学校追索。对“账销案存”资产清理和追索收回的资金，应当及时入账，并上缴市财政。</w:t>
      </w:r>
    </w:p>
    <w:p>
      <w:pPr>
        <w:widowControl/>
        <w:shd w:val="clear" w:color="auto" w:fill="FFFFFF"/>
        <w:spacing w:line="560" w:lineRule="exact"/>
        <w:ind w:firstLine="709"/>
        <w:rPr>
          <w:rFonts w:ascii="仿宋_GB2312" w:hAnsi="黑体" w:eastAsia="仿宋_GB2312"/>
          <w:sz w:val="32"/>
          <w:szCs w:val="32"/>
        </w:rPr>
      </w:pPr>
      <w:r>
        <w:rPr>
          <w:rFonts w:ascii="仿宋_GB2312" w:hAnsi="黑体" w:eastAsia="仿宋_GB2312"/>
          <w:sz w:val="32"/>
          <w:szCs w:val="32"/>
        </w:rPr>
        <w:t>（</w:t>
      </w:r>
      <w:r>
        <w:rPr>
          <w:rFonts w:hint="eastAsia" w:ascii="仿宋_GB2312" w:hAnsi="黑体" w:eastAsia="仿宋_GB2312"/>
          <w:sz w:val="32"/>
          <w:szCs w:val="32"/>
        </w:rPr>
        <w:t>五</w:t>
      </w:r>
      <w:r>
        <w:rPr>
          <w:rFonts w:ascii="仿宋_GB2312" w:hAnsi="黑体" w:eastAsia="仿宋_GB2312"/>
          <w:sz w:val="32"/>
          <w:szCs w:val="32"/>
        </w:rPr>
        <w:t>）由于</w:t>
      </w:r>
      <w:r>
        <w:rPr>
          <w:rFonts w:hint="eastAsia" w:ascii="仿宋_GB2312" w:hAnsi="黑体" w:eastAsia="仿宋_GB2312"/>
          <w:sz w:val="32"/>
          <w:szCs w:val="32"/>
        </w:rPr>
        <w:t>部门</w:t>
      </w:r>
      <w:r>
        <w:rPr>
          <w:rFonts w:ascii="仿宋_GB2312" w:hAnsi="黑体" w:eastAsia="仿宋_GB2312"/>
          <w:sz w:val="32"/>
          <w:szCs w:val="32"/>
        </w:rPr>
        <w:t>或工作人员失误造成的，</w:t>
      </w:r>
      <w:r>
        <w:rPr>
          <w:rFonts w:hint="eastAsia" w:ascii="仿宋_GB2312" w:hAnsi="黑体" w:eastAsia="仿宋_GB2312"/>
          <w:sz w:val="32"/>
          <w:szCs w:val="32"/>
        </w:rPr>
        <w:t>或没有履行追索义务，造成应收及预付款项无法收回或核销，给学校造成损失的，不得确认为坏账，将追究相关部门和责任人的责任，要求予以赔偿。</w:t>
      </w:r>
    </w:p>
    <w:p>
      <w:pPr>
        <w:widowControl/>
        <w:shd w:val="clear" w:color="auto" w:fill="FFFFFF"/>
        <w:spacing w:line="560" w:lineRule="exact"/>
        <w:ind w:firstLine="709"/>
        <w:rPr>
          <w:rFonts w:ascii="仿宋_GB2312" w:hAnsi="黑体" w:eastAsia="仿宋_GB2312"/>
          <w:sz w:val="32"/>
          <w:szCs w:val="32"/>
        </w:rPr>
      </w:pPr>
      <w:r>
        <w:rPr>
          <w:rFonts w:hint="eastAsia" w:ascii="仿宋_GB2312" w:hAnsi="黑体" w:eastAsia="仿宋_GB2312"/>
          <w:b/>
          <w:sz w:val="32"/>
          <w:szCs w:val="32"/>
        </w:rPr>
        <w:t>第十六条</w:t>
      </w:r>
      <w:r>
        <w:rPr>
          <w:rFonts w:hint="eastAsia" w:ascii="仿宋_GB2312" w:hAnsi="黑体" w:eastAsia="仿宋_GB2312"/>
          <w:sz w:val="32"/>
          <w:szCs w:val="32"/>
        </w:rPr>
        <w:t xml:space="preserve"> 应付及预收款项的核销管理。</w:t>
      </w:r>
    </w:p>
    <w:p>
      <w:pPr>
        <w:widowControl/>
        <w:shd w:val="clear" w:color="auto" w:fill="FFFFFF"/>
        <w:spacing w:line="560" w:lineRule="exact"/>
        <w:ind w:firstLine="709"/>
        <w:rPr>
          <w:rFonts w:ascii="仿宋_GB2312" w:hAnsi="黑体" w:eastAsia="仿宋_GB2312"/>
          <w:sz w:val="32"/>
          <w:szCs w:val="32"/>
        </w:rPr>
      </w:pPr>
      <w:r>
        <w:rPr>
          <w:rFonts w:hint="eastAsia" w:ascii="仿宋_GB2312" w:hAnsi="黑体" w:eastAsia="仿宋_GB2312"/>
          <w:sz w:val="32"/>
          <w:szCs w:val="32"/>
        </w:rPr>
        <w:t>（一）保证金类。根据合同或协议约定的质量保证时间，到期后确无质量问题，提交保证金退费申请书</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质保金支付验收单</w:t>
      </w:r>
      <w:r>
        <w:rPr>
          <w:rFonts w:hint="eastAsia" w:ascii="仿宋_GB2312" w:hAnsi="黑体" w:eastAsia="仿宋_GB2312"/>
          <w:sz w:val="32"/>
          <w:szCs w:val="32"/>
        </w:rPr>
        <w:t>以及相关原始票据，到财务部门办理支付手续。</w:t>
      </w:r>
    </w:p>
    <w:p>
      <w:pPr>
        <w:widowControl/>
        <w:shd w:val="clear" w:color="auto" w:fill="FFFFFF"/>
        <w:spacing w:line="560" w:lineRule="exact"/>
        <w:ind w:firstLine="709"/>
        <w:rPr>
          <w:rFonts w:ascii="仿宋_GB2312" w:hAnsi="黑体" w:eastAsia="仿宋_GB2312"/>
          <w:sz w:val="32"/>
          <w:szCs w:val="32"/>
        </w:rPr>
      </w:pPr>
      <w:r>
        <w:rPr>
          <w:rFonts w:hint="eastAsia" w:ascii="仿宋_GB2312" w:hAnsi="黑体" w:eastAsia="仿宋_GB2312"/>
          <w:sz w:val="32"/>
          <w:szCs w:val="32"/>
        </w:rPr>
        <w:t>（二）押金类。到期后经归口管理部门签署意见后，</w:t>
      </w:r>
      <w:r>
        <w:rPr>
          <w:rFonts w:hint="eastAsia" w:ascii="仿宋_GB2312" w:hAnsi="黑体" w:eastAsia="仿宋_GB2312"/>
          <w:sz w:val="32"/>
          <w:szCs w:val="32"/>
          <w:lang w:val="en-US" w:eastAsia="zh-CN"/>
        </w:rPr>
        <w:t>凭相关票据资料</w:t>
      </w:r>
      <w:r>
        <w:rPr>
          <w:rFonts w:hint="eastAsia" w:ascii="仿宋_GB2312" w:hAnsi="黑体" w:eastAsia="仿宋_GB2312"/>
          <w:sz w:val="32"/>
          <w:szCs w:val="32"/>
        </w:rPr>
        <w:t>到财务部门办理支付手续。</w:t>
      </w:r>
    </w:p>
    <w:p>
      <w:pPr>
        <w:widowControl/>
        <w:shd w:val="clear" w:color="auto" w:fill="FFFFFF"/>
        <w:spacing w:line="560" w:lineRule="exact"/>
        <w:ind w:firstLine="709"/>
        <w:rPr>
          <w:rFonts w:ascii="仿宋_GB2312" w:hAnsi="黑体" w:eastAsia="仿宋_GB2312"/>
          <w:sz w:val="32"/>
          <w:szCs w:val="32"/>
        </w:rPr>
      </w:pPr>
      <w:r>
        <w:rPr>
          <w:rFonts w:hint="eastAsia" w:ascii="仿宋_GB2312" w:hAnsi="黑体" w:eastAsia="仿宋_GB2312"/>
          <w:sz w:val="32"/>
          <w:szCs w:val="32"/>
        </w:rPr>
        <w:t>（三）科研类。财务部门及时通知科研处到款信息，对于长期无人认领的款项，应联系付款单位确认信息，通知相关部门或个人尽快办理手续。</w:t>
      </w:r>
    </w:p>
    <w:p>
      <w:pPr>
        <w:widowControl/>
        <w:shd w:val="clear" w:color="auto" w:fill="FFFFFF"/>
        <w:spacing w:line="560" w:lineRule="exact"/>
        <w:ind w:firstLine="709"/>
        <w:rPr>
          <w:rFonts w:ascii="仿宋_GB2312" w:hAnsi="黑体" w:eastAsia="仿宋_GB2312"/>
          <w:sz w:val="32"/>
          <w:szCs w:val="32"/>
        </w:rPr>
      </w:pPr>
      <w:r>
        <w:rPr>
          <w:rFonts w:hint="eastAsia" w:ascii="仿宋_GB2312" w:hAnsi="黑体" w:eastAsia="仿宋_GB2312"/>
          <w:sz w:val="32"/>
          <w:szCs w:val="32"/>
        </w:rPr>
        <w:t>（四）社保类。财务部门应实行分类核算，定期与人事部门核对。</w:t>
      </w:r>
    </w:p>
    <w:p>
      <w:pPr>
        <w:widowControl/>
        <w:shd w:val="clear" w:color="auto" w:fill="FFFFFF"/>
        <w:spacing w:line="560" w:lineRule="exact"/>
        <w:ind w:firstLine="709"/>
        <w:rPr>
          <w:rFonts w:ascii="仿宋_GB2312" w:hAnsi="黑体" w:eastAsia="仿宋_GB2312"/>
          <w:sz w:val="32"/>
          <w:szCs w:val="32"/>
        </w:rPr>
      </w:pPr>
      <w:r>
        <w:rPr>
          <w:rFonts w:hint="eastAsia" w:ascii="仿宋_GB2312" w:hAnsi="黑体" w:eastAsia="仿宋_GB2312"/>
          <w:sz w:val="32"/>
          <w:szCs w:val="32"/>
        </w:rPr>
        <w:t>（五）学生代收代支</w:t>
      </w:r>
      <w:r>
        <w:rPr>
          <w:rFonts w:hint="eastAsia" w:ascii="仿宋_GB2312" w:hAnsi="黑体" w:eastAsia="仿宋_GB2312"/>
          <w:sz w:val="32"/>
          <w:szCs w:val="32"/>
          <w:lang w:val="en-US" w:eastAsia="zh-CN"/>
        </w:rPr>
        <w:t>类</w:t>
      </w:r>
      <w:r>
        <w:rPr>
          <w:rFonts w:hint="eastAsia" w:ascii="仿宋_GB2312" w:hAnsi="黑体" w:eastAsia="仿宋_GB2312"/>
          <w:sz w:val="32"/>
          <w:szCs w:val="32"/>
        </w:rPr>
        <w:t>。其收取必须按照“事先告知、自愿缴纳、据实结算”原则，相关账款应当及时结清。有关部门应设立明细台账，定期与财务部门进行核对。</w:t>
      </w:r>
    </w:p>
    <w:p>
      <w:pPr>
        <w:widowControl/>
        <w:shd w:val="clear" w:color="auto" w:fill="FFFFFF"/>
        <w:spacing w:line="560" w:lineRule="exact"/>
        <w:ind w:firstLine="709"/>
        <w:rPr>
          <w:rFonts w:ascii="仿宋_GB2312" w:hAnsi="黑体" w:eastAsia="仿宋_GB2312"/>
          <w:sz w:val="32"/>
          <w:szCs w:val="32"/>
        </w:rPr>
      </w:pPr>
      <w:r>
        <w:rPr>
          <w:rFonts w:hint="eastAsia" w:ascii="仿宋_GB2312" w:hAnsi="黑体" w:eastAsia="仿宋_GB2312"/>
          <w:sz w:val="32"/>
          <w:szCs w:val="32"/>
        </w:rPr>
        <w:t>（六）其他来款由款项的归口管理部门尽量办理手续。</w:t>
      </w:r>
    </w:p>
    <w:p>
      <w:pPr>
        <w:pStyle w:val="8"/>
        <w:spacing w:line="560" w:lineRule="exact"/>
        <w:ind w:firstLine="640"/>
        <w:rPr>
          <w:rFonts w:eastAsia="仿宋"/>
        </w:rPr>
      </w:pPr>
      <w:r>
        <w:rPr>
          <w:rFonts w:hint="eastAsia" w:ascii="仿宋_GB2312" w:hAnsi="黑体" w:eastAsia="仿宋_GB2312" w:cs="Times New Roman"/>
          <w:b/>
          <w:kern w:val="2"/>
          <w:sz w:val="32"/>
          <w:szCs w:val="32"/>
        </w:rPr>
        <w:t>第十七条</w:t>
      </w:r>
      <w:r>
        <w:rPr>
          <w:rFonts w:hint="eastAsia"/>
          <w:b/>
          <w:kern w:val="2"/>
          <w:sz w:val="32"/>
          <w:szCs w:val="32"/>
        </w:rPr>
        <w:t> </w:t>
      </w:r>
      <w:r>
        <w:rPr>
          <w:rFonts w:hint="eastAsia" w:ascii="仿宋" w:hAnsi="仿宋" w:eastAsia="仿宋"/>
          <w:color w:val="000000"/>
          <w:sz w:val="32"/>
          <w:szCs w:val="32"/>
        </w:rPr>
        <w:t>应付及预收款项的核销</w:t>
      </w:r>
    </w:p>
    <w:p>
      <w:pPr>
        <w:pStyle w:val="8"/>
        <w:spacing w:line="560" w:lineRule="exact"/>
        <w:ind w:firstLine="640"/>
      </w:pPr>
      <w:r>
        <w:rPr>
          <w:rFonts w:hint="eastAsia" w:ascii="仿宋_GB2312" w:hAnsi="黑体" w:eastAsia="仿宋_GB2312"/>
          <w:sz w:val="32"/>
          <w:szCs w:val="32"/>
        </w:rPr>
        <w:t>（一）</w:t>
      </w:r>
      <w:r>
        <w:rPr>
          <w:rFonts w:hint="eastAsia" w:ascii="仿宋" w:hAnsi="仿宋" w:eastAsia="仿宋"/>
          <w:color w:val="000000"/>
          <w:sz w:val="32"/>
          <w:szCs w:val="32"/>
        </w:rPr>
        <w:t>对于超过3年以上的</w:t>
      </w:r>
      <w:r>
        <w:rPr>
          <w:rFonts w:hint="eastAsia" w:ascii="仿宋_GB2312" w:hAnsi="黑体" w:eastAsia="仿宋_GB2312"/>
          <w:sz w:val="32"/>
          <w:szCs w:val="32"/>
        </w:rPr>
        <w:t>应付及</w:t>
      </w:r>
      <w:r>
        <w:rPr>
          <w:rFonts w:hint="eastAsia" w:ascii="仿宋" w:hAnsi="仿宋" w:eastAsia="仿宋"/>
          <w:color w:val="000000"/>
          <w:sz w:val="32"/>
          <w:szCs w:val="32"/>
        </w:rPr>
        <w:t>预收款项，明确权属的应付及预收款项由责任部门或责任人确认形成原因，提供相关证明材料和情况说明；无法明确权属的，或</w:t>
      </w:r>
      <w:r>
        <w:rPr>
          <w:rFonts w:hint="eastAsia" w:ascii="仿宋_GB2312" w:hAnsi="黑体" w:eastAsia="仿宋_GB2312"/>
          <w:sz w:val="32"/>
          <w:szCs w:val="32"/>
        </w:rPr>
        <w:t>确属无法支付、债权人豁免的</w:t>
      </w:r>
      <w:r>
        <w:rPr>
          <w:rFonts w:hint="eastAsia" w:ascii="仿宋" w:hAnsi="仿宋" w:eastAsia="仿宋"/>
          <w:color w:val="000000"/>
          <w:sz w:val="32"/>
          <w:szCs w:val="32"/>
        </w:rPr>
        <w:t>应付及预收款</w:t>
      </w:r>
      <w:r>
        <w:rPr>
          <w:rFonts w:hint="eastAsia" w:ascii="仿宋_GB2312" w:hAnsi="黑体" w:eastAsia="仿宋_GB2312"/>
          <w:sz w:val="32"/>
          <w:szCs w:val="32"/>
        </w:rPr>
        <w:t>项，</w:t>
      </w:r>
      <w:r>
        <w:rPr>
          <w:rFonts w:hint="eastAsia" w:ascii="仿宋" w:hAnsi="仿宋" w:eastAsia="仿宋"/>
          <w:color w:val="000000"/>
          <w:sz w:val="32"/>
          <w:szCs w:val="32"/>
        </w:rPr>
        <w:t>由</w:t>
      </w:r>
      <w:r>
        <w:rPr>
          <w:rFonts w:hint="eastAsia" w:ascii="仿宋_GB2312" w:hAnsi="黑体" w:eastAsia="仿宋_GB2312"/>
          <w:sz w:val="32"/>
          <w:szCs w:val="32"/>
        </w:rPr>
        <w:t>财务部门汇总，</w:t>
      </w:r>
      <w:r>
        <w:rPr>
          <w:rFonts w:hint="eastAsia" w:ascii="仿宋" w:hAnsi="仿宋" w:eastAsia="仿宋"/>
          <w:color w:val="000000"/>
          <w:sz w:val="32"/>
          <w:szCs w:val="32"/>
        </w:rPr>
        <w:t>上报分管财务校领导，报院长办公会审定后</w:t>
      </w:r>
      <w:r>
        <w:rPr>
          <w:rFonts w:hint="eastAsia" w:ascii="仿宋_GB2312" w:hAnsi="黑体" w:eastAsia="仿宋_GB2312"/>
          <w:sz w:val="32"/>
          <w:szCs w:val="32"/>
        </w:rPr>
        <w:t>，确认为学校其他收入，</w:t>
      </w:r>
      <w:r>
        <w:rPr>
          <w:rFonts w:hint="eastAsia" w:ascii="仿宋_GB2312" w:hAnsi="黑体" w:eastAsia="仿宋_GB2312" w:cs="Times New Roman"/>
          <w:kern w:val="2"/>
          <w:sz w:val="32"/>
          <w:szCs w:val="32"/>
        </w:rPr>
        <w:t>并建立备查簿。</w:t>
      </w:r>
    </w:p>
    <w:p>
      <w:pPr>
        <w:pStyle w:val="8"/>
        <w:spacing w:line="560" w:lineRule="exact"/>
        <w:ind w:firstLine="640"/>
        <w:rPr>
          <w:rFonts w:ascii="黑体" w:hAnsi="黑体" w:eastAsia="黑体"/>
          <w:sz w:val="32"/>
          <w:szCs w:val="32"/>
        </w:rPr>
      </w:pPr>
      <w:r>
        <w:rPr>
          <w:rFonts w:hint="eastAsia" w:ascii="仿宋_GB2312" w:hAnsi="黑体" w:eastAsia="仿宋_GB2312"/>
          <w:sz w:val="32"/>
          <w:szCs w:val="32"/>
        </w:rPr>
        <w:t>（二）</w:t>
      </w:r>
      <w:r>
        <w:rPr>
          <w:rFonts w:hint="eastAsia" w:ascii="仿宋" w:hAnsi="仿宋" w:eastAsia="仿宋"/>
          <w:color w:val="000000"/>
          <w:sz w:val="32"/>
          <w:szCs w:val="32"/>
        </w:rPr>
        <w:t>对已确认学校收入的款项，如有部门或个人认领，需办理入账及资金支付结算手续的，须提供合同条款、有关情况说明及佐证材料，经学校有关部门核实签批，报财务部门审核后，按照审批权限办理。</w:t>
      </w:r>
    </w:p>
    <w:p>
      <w:pPr>
        <w:widowControl/>
        <w:shd w:val="clear" w:color="auto" w:fill="FFFFFF"/>
        <w:spacing w:line="560" w:lineRule="exact"/>
        <w:jc w:val="center"/>
        <w:rPr>
          <w:rFonts w:ascii="黑体" w:hAnsi="黑体" w:eastAsia="黑体"/>
          <w:sz w:val="32"/>
          <w:szCs w:val="32"/>
        </w:rPr>
      </w:pPr>
      <w:r>
        <w:rPr>
          <w:rFonts w:ascii="黑体" w:hAnsi="黑体" w:eastAsia="黑体"/>
          <w:sz w:val="32"/>
          <w:szCs w:val="32"/>
        </w:rPr>
        <w:t>第</w:t>
      </w:r>
      <w:r>
        <w:rPr>
          <w:rFonts w:hint="eastAsia" w:ascii="黑体" w:hAnsi="黑体" w:eastAsia="黑体"/>
          <w:sz w:val="32"/>
          <w:szCs w:val="32"/>
        </w:rPr>
        <w:t>五</w:t>
      </w:r>
      <w:r>
        <w:rPr>
          <w:rFonts w:ascii="黑体" w:hAnsi="黑体" w:eastAsia="黑体"/>
          <w:sz w:val="32"/>
          <w:szCs w:val="32"/>
        </w:rPr>
        <w:t xml:space="preserve">章 </w:t>
      </w:r>
      <w:r>
        <w:rPr>
          <w:rFonts w:hint="eastAsia" w:ascii="黑体" w:hAnsi="黑体" w:eastAsia="黑体"/>
          <w:sz w:val="32"/>
          <w:szCs w:val="32"/>
        </w:rPr>
        <w:t xml:space="preserve"> </w:t>
      </w:r>
      <w:r>
        <w:rPr>
          <w:rFonts w:ascii="黑体" w:hAnsi="黑体" w:eastAsia="黑体"/>
          <w:sz w:val="32"/>
          <w:szCs w:val="32"/>
        </w:rPr>
        <w:t>附则</w:t>
      </w:r>
    </w:p>
    <w:p>
      <w:pPr>
        <w:widowControl/>
        <w:shd w:val="clear" w:color="auto" w:fill="FFFFFF"/>
        <w:spacing w:line="560" w:lineRule="exact"/>
        <w:ind w:firstLine="709"/>
        <w:rPr>
          <w:rFonts w:ascii="仿宋_GB2312" w:hAnsi="黑体" w:eastAsia="仿宋_GB2312"/>
          <w:sz w:val="32"/>
          <w:szCs w:val="32"/>
        </w:rPr>
      </w:pPr>
      <w:r>
        <w:rPr>
          <w:rFonts w:hint="eastAsia" w:ascii="仿宋_GB2312" w:hAnsi="黑体" w:eastAsia="仿宋_GB2312"/>
          <w:b/>
          <w:sz w:val="32"/>
          <w:szCs w:val="32"/>
        </w:rPr>
        <w:t xml:space="preserve">第十八条 </w:t>
      </w:r>
      <w:r>
        <w:rPr>
          <w:rFonts w:ascii="仿宋_GB2312" w:hAnsi="黑体" w:eastAsia="仿宋_GB2312"/>
          <w:sz w:val="32"/>
          <w:szCs w:val="32"/>
        </w:rPr>
        <w:t>本办法由</w:t>
      </w:r>
      <w:r>
        <w:rPr>
          <w:rFonts w:hint="eastAsia" w:ascii="仿宋_GB2312" w:hAnsi="黑体" w:eastAsia="仿宋_GB2312"/>
          <w:sz w:val="32"/>
          <w:szCs w:val="32"/>
        </w:rPr>
        <w:t>学院</w:t>
      </w:r>
      <w:r>
        <w:rPr>
          <w:rFonts w:ascii="仿宋_GB2312" w:hAnsi="黑体" w:eastAsia="仿宋_GB2312"/>
          <w:sz w:val="32"/>
          <w:szCs w:val="32"/>
        </w:rPr>
        <w:t>解释</w:t>
      </w:r>
      <w:r>
        <w:rPr>
          <w:rFonts w:hint="eastAsia" w:ascii="仿宋_GB2312" w:hAnsi="黑体" w:eastAsia="仿宋_GB2312"/>
          <w:sz w:val="32"/>
          <w:szCs w:val="32"/>
        </w:rPr>
        <w:t>，具体由计划财务处负责。</w:t>
      </w:r>
    </w:p>
    <w:p>
      <w:pPr>
        <w:widowControl/>
        <w:shd w:val="clear" w:color="auto" w:fill="FFFFFF"/>
        <w:spacing w:line="560" w:lineRule="exact"/>
        <w:ind w:firstLine="709"/>
        <w:rPr>
          <w:rFonts w:ascii="仿宋_GB2312" w:hAnsi="黑体" w:eastAsia="仿宋_GB2312"/>
          <w:sz w:val="32"/>
          <w:szCs w:val="32"/>
        </w:rPr>
      </w:pPr>
      <w:r>
        <w:rPr>
          <w:rFonts w:hint="eastAsia" w:ascii="仿宋_GB2312" w:hAnsi="黑体" w:eastAsia="仿宋_GB2312"/>
          <w:b/>
          <w:sz w:val="32"/>
          <w:szCs w:val="32"/>
        </w:rPr>
        <w:t xml:space="preserve">第十九条 </w:t>
      </w:r>
      <w:r>
        <w:rPr>
          <w:rFonts w:hint="eastAsia" w:ascii="仿宋_GB2312" w:hAnsi="黑体" w:eastAsia="仿宋_GB2312"/>
          <w:bCs/>
          <w:sz w:val="32"/>
          <w:szCs w:val="32"/>
        </w:rPr>
        <w:t>本办法</w:t>
      </w:r>
      <w:r>
        <w:rPr>
          <w:rFonts w:hint="eastAsia" w:ascii="仿宋" w:hAnsi="仿宋" w:eastAsia="仿宋" w:cs="Arial"/>
          <w:color w:val="000000"/>
          <w:kern w:val="0"/>
          <w:sz w:val="32"/>
          <w:szCs w:val="32"/>
        </w:rPr>
        <w:t>自发布之日起</w:t>
      </w:r>
      <w:r>
        <w:rPr>
          <w:rFonts w:ascii="仿宋" w:hAnsi="仿宋" w:eastAsia="仿宋" w:cs="Arial"/>
          <w:color w:val="000000"/>
          <w:kern w:val="0"/>
          <w:sz w:val="32"/>
          <w:szCs w:val="32"/>
        </w:rPr>
        <w:t>施行</w:t>
      </w:r>
      <w:r>
        <w:rPr>
          <w:rFonts w:hint="eastAsia" w:ascii="仿宋" w:hAnsi="仿宋" w:eastAsia="仿宋" w:cs="Arial"/>
          <w:color w:val="000000"/>
          <w:kern w:val="0"/>
          <w:sz w:val="32"/>
          <w:szCs w:val="32"/>
        </w:rPr>
        <w:t>。</w:t>
      </w:r>
      <w:r>
        <w:rPr>
          <w:rFonts w:hint="eastAsia" w:ascii="仿宋_GB2312" w:hAnsi="黑体" w:eastAsia="仿宋_GB2312"/>
          <w:sz w:val="32"/>
          <w:szCs w:val="32"/>
        </w:rPr>
        <w:t>本办法未尽事宜，按国家有关规定执行。</w:t>
      </w:r>
    </w:p>
    <w:p>
      <w:pPr>
        <w:widowControl/>
        <w:shd w:val="clear" w:color="auto" w:fill="FFFFFF"/>
        <w:spacing w:line="560" w:lineRule="exact"/>
        <w:ind w:firstLine="709"/>
        <w:rPr>
          <w:rFonts w:ascii="仿宋_GB2312" w:hAnsi="黑体" w:eastAsia="仿宋_GB2312"/>
          <w:sz w:val="32"/>
          <w:szCs w:val="32"/>
        </w:rPr>
      </w:pPr>
      <w:r>
        <w:rPr>
          <w:rFonts w:ascii="仿宋_GB2312" w:hAnsi="黑体" w:eastAsia="仿宋_GB2312"/>
          <w:b/>
          <w:sz w:val="32"/>
          <w:szCs w:val="32"/>
        </w:rPr>
        <w:t>第二十条</w:t>
      </w:r>
      <w:r>
        <w:rPr>
          <w:rFonts w:ascii="仿宋_GB2312" w:hAnsi="黑体" w:eastAsia="仿宋_GB2312"/>
          <w:sz w:val="32"/>
          <w:szCs w:val="32"/>
        </w:rPr>
        <w:t xml:space="preserve"> </w:t>
      </w:r>
      <w:r>
        <w:rPr>
          <w:rFonts w:hint="eastAsia" w:ascii="仿宋_GB2312" w:hAnsi="黑体" w:eastAsia="仿宋_GB2312"/>
          <w:sz w:val="32"/>
          <w:szCs w:val="32"/>
        </w:rPr>
        <w:t>其他财务与账款管理遵照法律法规与学院规章制度执行。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3975501"/>
    </w:sdtPr>
    <w:sdtContent>
      <w:p>
        <w:pPr>
          <w:pStyle w:val="6"/>
          <w:jc w:val="center"/>
        </w:pPr>
        <w:r>
          <w:fldChar w:fldCharType="begin"/>
        </w:r>
        <w:r>
          <w:instrText xml:space="preserve">PAGE   \* MERGEFORMAT</w:instrText>
        </w:r>
        <w:r>
          <w:fldChar w:fldCharType="separate"/>
        </w:r>
        <w:r>
          <w:rPr>
            <w:lang w:val="zh-CN"/>
          </w:rPr>
          <w:t>9</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mZjQ0MjFmZjk5M2ZkZGVhZGFlYzFhOTEyNmVlMWUifQ=="/>
  </w:docVars>
  <w:rsids>
    <w:rsidRoot w:val="0052372F"/>
    <w:rsid w:val="00032E42"/>
    <w:rsid w:val="00074359"/>
    <w:rsid w:val="000B718C"/>
    <w:rsid w:val="000C2364"/>
    <w:rsid w:val="000E7849"/>
    <w:rsid w:val="001315DD"/>
    <w:rsid w:val="001D7D5F"/>
    <w:rsid w:val="00233E75"/>
    <w:rsid w:val="00241CCF"/>
    <w:rsid w:val="002447B6"/>
    <w:rsid w:val="002777F3"/>
    <w:rsid w:val="002F2D1A"/>
    <w:rsid w:val="003604CF"/>
    <w:rsid w:val="003F4EF8"/>
    <w:rsid w:val="00412581"/>
    <w:rsid w:val="00420D9C"/>
    <w:rsid w:val="00467C41"/>
    <w:rsid w:val="004C5052"/>
    <w:rsid w:val="00523600"/>
    <w:rsid w:val="0052372F"/>
    <w:rsid w:val="0053541A"/>
    <w:rsid w:val="00555ECF"/>
    <w:rsid w:val="0058557E"/>
    <w:rsid w:val="005A1906"/>
    <w:rsid w:val="006034C5"/>
    <w:rsid w:val="006079BF"/>
    <w:rsid w:val="006761D9"/>
    <w:rsid w:val="006A67D9"/>
    <w:rsid w:val="006E6EC6"/>
    <w:rsid w:val="007025CC"/>
    <w:rsid w:val="00772D22"/>
    <w:rsid w:val="007960DA"/>
    <w:rsid w:val="007A6675"/>
    <w:rsid w:val="007A6FEE"/>
    <w:rsid w:val="007B07B2"/>
    <w:rsid w:val="007B33D3"/>
    <w:rsid w:val="007E187E"/>
    <w:rsid w:val="007F5D90"/>
    <w:rsid w:val="00847EB2"/>
    <w:rsid w:val="00856873"/>
    <w:rsid w:val="0086293A"/>
    <w:rsid w:val="008707BD"/>
    <w:rsid w:val="008B1F09"/>
    <w:rsid w:val="008E25AB"/>
    <w:rsid w:val="008E3CBC"/>
    <w:rsid w:val="00915916"/>
    <w:rsid w:val="009A476E"/>
    <w:rsid w:val="009D2E07"/>
    <w:rsid w:val="00A05F17"/>
    <w:rsid w:val="00A97BDB"/>
    <w:rsid w:val="00AC61E7"/>
    <w:rsid w:val="00AC7701"/>
    <w:rsid w:val="00C76ABD"/>
    <w:rsid w:val="00CA1F4F"/>
    <w:rsid w:val="00CF20A1"/>
    <w:rsid w:val="00D76F0B"/>
    <w:rsid w:val="00D92A09"/>
    <w:rsid w:val="00DA693D"/>
    <w:rsid w:val="00DB4E51"/>
    <w:rsid w:val="00E23EB5"/>
    <w:rsid w:val="00E91387"/>
    <w:rsid w:val="027254A7"/>
    <w:rsid w:val="04E21C1B"/>
    <w:rsid w:val="083512AD"/>
    <w:rsid w:val="09AC19DF"/>
    <w:rsid w:val="0C26105B"/>
    <w:rsid w:val="0EE816F7"/>
    <w:rsid w:val="10782A5C"/>
    <w:rsid w:val="10EC50F9"/>
    <w:rsid w:val="16DF3B6C"/>
    <w:rsid w:val="1A023DF9"/>
    <w:rsid w:val="1A8A1BB9"/>
    <w:rsid w:val="1E14074F"/>
    <w:rsid w:val="1E1653EA"/>
    <w:rsid w:val="27D56FF1"/>
    <w:rsid w:val="303401A9"/>
    <w:rsid w:val="32C0264B"/>
    <w:rsid w:val="37396991"/>
    <w:rsid w:val="37F23808"/>
    <w:rsid w:val="3A503F45"/>
    <w:rsid w:val="3DA65970"/>
    <w:rsid w:val="425970E4"/>
    <w:rsid w:val="42D5244C"/>
    <w:rsid w:val="46F110B8"/>
    <w:rsid w:val="4C204021"/>
    <w:rsid w:val="4C213D03"/>
    <w:rsid w:val="4E121B55"/>
    <w:rsid w:val="5996100A"/>
    <w:rsid w:val="5A1E5DD4"/>
    <w:rsid w:val="79DD1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6"/>
    <w:semiHidden/>
    <w:unhideWhenUsed/>
    <w:qFormat/>
    <w:uiPriority w:val="99"/>
    <w:rPr>
      <w:b/>
      <w:bCs/>
    </w:rPr>
  </w:style>
  <w:style w:type="paragraph" w:styleId="3">
    <w:name w:val="annotation text"/>
    <w:basedOn w:val="1"/>
    <w:link w:val="15"/>
    <w:semiHidden/>
    <w:unhideWhenUsed/>
    <w:qFormat/>
    <w:uiPriority w:val="99"/>
    <w:pPr>
      <w:jc w:val="left"/>
    </w:pPr>
  </w:style>
  <w:style w:type="paragraph" w:styleId="4">
    <w:name w:val="Body Text"/>
    <w:basedOn w:val="1"/>
    <w:link w:val="19"/>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6"/>
      <w:szCs w:val="36"/>
      <w:lang w:eastAsia="en-US"/>
    </w:r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1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9">
    <w:name w:val="Normal (Web)"/>
    <w:basedOn w:val="1"/>
    <w:unhideWhenUsed/>
    <w:qFormat/>
    <w:uiPriority w:val="99"/>
    <w:pPr>
      <w:widowControl/>
      <w:jc w:val="left"/>
    </w:pPr>
    <w:rPr>
      <w:rFonts w:ascii="宋体" w:hAnsi="宋体" w:cs="宋体"/>
      <w:kern w:val="0"/>
      <w:sz w:val="24"/>
      <w:szCs w:val="24"/>
    </w:rPr>
  </w:style>
  <w:style w:type="character" w:styleId="11">
    <w:name w:val="annotation reference"/>
    <w:basedOn w:val="10"/>
    <w:semiHidden/>
    <w:unhideWhenUsed/>
    <w:qFormat/>
    <w:uiPriority w:val="99"/>
    <w:rPr>
      <w:sz w:val="21"/>
      <w:szCs w:val="21"/>
    </w:rPr>
  </w:style>
  <w:style w:type="character" w:customStyle="1" w:styleId="13">
    <w:name w:val="页眉 Char"/>
    <w:basedOn w:val="10"/>
    <w:link w:val="7"/>
    <w:qFormat/>
    <w:uiPriority w:val="99"/>
    <w:rPr>
      <w:rFonts w:ascii="Calibri" w:hAnsi="Calibri" w:eastAsia="宋体" w:cs="Times New Roman"/>
      <w:sz w:val="18"/>
      <w:szCs w:val="18"/>
    </w:rPr>
  </w:style>
  <w:style w:type="character" w:customStyle="1" w:styleId="14">
    <w:name w:val="页脚 Char"/>
    <w:basedOn w:val="10"/>
    <w:link w:val="6"/>
    <w:qFormat/>
    <w:uiPriority w:val="99"/>
    <w:rPr>
      <w:rFonts w:ascii="Calibri" w:hAnsi="Calibri" w:eastAsia="宋体" w:cs="Times New Roman"/>
      <w:sz w:val="18"/>
      <w:szCs w:val="18"/>
    </w:rPr>
  </w:style>
  <w:style w:type="character" w:customStyle="1" w:styleId="15">
    <w:name w:val="批注文字 Char"/>
    <w:basedOn w:val="10"/>
    <w:link w:val="3"/>
    <w:semiHidden/>
    <w:qFormat/>
    <w:uiPriority w:val="99"/>
    <w:rPr>
      <w:rFonts w:ascii="Calibri" w:hAnsi="Calibri" w:eastAsia="宋体" w:cs="Times New Roman"/>
    </w:rPr>
  </w:style>
  <w:style w:type="character" w:customStyle="1" w:styleId="16">
    <w:name w:val="批注主题 Char"/>
    <w:basedOn w:val="15"/>
    <w:link w:val="2"/>
    <w:semiHidden/>
    <w:qFormat/>
    <w:uiPriority w:val="99"/>
    <w:rPr>
      <w:rFonts w:ascii="Calibri" w:hAnsi="Calibri" w:eastAsia="宋体" w:cs="Times New Roman"/>
      <w:b/>
      <w:bCs/>
    </w:rPr>
  </w:style>
  <w:style w:type="character" w:customStyle="1" w:styleId="17">
    <w:name w:val="批注框文本 Char"/>
    <w:basedOn w:val="10"/>
    <w:link w:val="5"/>
    <w:semiHidden/>
    <w:qFormat/>
    <w:uiPriority w:val="99"/>
    <w:rPr>
      <w:rFonts w:ascii="Calibri" w:hAnsi="Calibri" w:eastAsia="宋体" w:cs="Times New Roman"/>
      <w:sz w:val="18"/>
      <w:szCs w:val="18"/>
    </w:rPr>
  </w:style>
  <w:style w:type="character" w:customStyle="1" w:styleId="18">
    <w:name w:val="HTML 预设格式 Char"/>
    <w:basedOn w:val="10"/>
    <w:link w:val="8"/>
    <w:qFormat/>
    <w:uiPriority w:val="99"/>
    <w:rPr>
      <w:rFonts w:ascii="宋体" w:hAnsi="宋体" w:eastAsia="宋体" w:cs="宋体"/>
      <w:kern w:val="0"/>
      <w:sz w:val="24"/>
      <w:szCs w:val="24"/>
    </w:rPr>
  </w:style>
  <w:style w:type="character" w:customStyle="1" w:styleId="19">
    <w:name w:val="正文文本 Char"/>
    <w:basedOn w:val="10"/>
    <w:link w:val="4"/>
    <w:semiHidden/>
    <w:qFormat/>
    <w:uiPriority w:val="0"/>
    <w:rPr>
      <w:rFonts w:ascii="仿宋" w:hAnsi="仿宋" w:eastAsia="仿宋" w:cs="仿宋"/>
      <w:snapToGrid w:val="0"/>
      <w:color w:val="000000"/>
      <w:kern w:val="0"/>
      <w:sz w:val="36"/>
      <w:szCs w:val="36"/>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657</Words>
  <Characters>3751</Characters>
  <Lines>31</Lines>
  <Paragraphs>8</Paragraphs>
  <TotalTime>0</TotalTime>
  <ScaleCrop>false</ScaleCrop>
  <LinksUpToDate>false</LinksUpToDate>
  <CharactersWithSpaces>4400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2024-02-19T06:09:00Z</dcterms:created>
  <dc:creator>楠</dc:creator>
  <cp:lastModifiedBy>林于靖</cp:lastModifiedBy>
  <cp:lastPrinted>2024-04-12T12:45:00Z</cp:lastPrinted>
  <dcterms:modified xsi:type="dcterms:W3CDTF">2024-04-26T01:31:46Z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B46F658C388F40B29DC205DF1A25A840_12</vt:lpwstr>
  </property>
</Properties>
</file>