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350A7">
      <w:pPr>
        <w:jc w:val="center"/>
        <w:rPr>
          <w:rFonts w:ascii="方正小标宋简体" w:hAnsi="黑体" w:eastAsia="方正小标宋简体"/>
          <w:b/>
          <w:sz w:val="44"/>
          <w:szCs w:val="44"/>
        </w:rPr>
      </w:pPr>
      <w:r>
        <w:rPr>
          <w:rFonts w:hint="eastAsia" w:ascii="方正小标宋简体" w:hAnsi="黑体" w:eastAsia="方正小标宋简体"/>
          <w:b/>
          <w:sz w:val="44"/>
          <w:szCs w:val="44"/>
        </w:rPr>
        <w:t>电子信息学院“宪法宣传周”活动开展情况</w:t>
      </w:r>
    </w:p>
    <w:p w14:paraId="7437219D">
      <w:pPr>
        <w:jc w:val="center"/>
        <w:rPr>
          <w:rFonts w:ascii="方正小标宋简体" w:hAnsi="黑体" w:eastAsia="方正小标宋简体"/>
          <w:b/>
          <w:sz w:val="44"/>
          <w:szCs w:val="44"/>
        </w:rPr>
      </w:pPr>
      <w:r>
        <w:rPr>
          <w:rFonts w:hint="eastAsia" w:ascii="方正小标宋简体" w:hAnsi="黑体" w:eastAsia="方正小标宋简体"/>
          <w:b/>
          <w:sz w:val="44"/>
          <w:szCs w:val="44"/>
        </w:rPr>
        <w:t>汇报</w:t>
      </w:r>
    </w:p>
    <w:p w14:paraId="76F16DFF">
      <w:pPr>
        <w:ind w:firstLine="640" w:firstLineChars="200"/>
        <w:rPr>
          <w:rFonts w:hint="eastAsia" w:eastAsiaTheme="minorEastAsia"/>
          <w:lang w:eastAsia="zh-CN"/>
        </w:rPr>
      </w:pPr>
      <w:r>
        <w:rPr>
          <w:rFonts w:hint="eastAsia" w:ascii="方正仿宋简体" w:eastAsia="方正仿宋简体" w:cs="黑体" w:hAnsiTheme="minorEastAsia"/>
          <w:kern w:val="0"/>
          <w:sz w:val="32"/>
          <w:szCs w:val="32"/>
        </w:rPr>
        <w:t>为深入学习贯彻党的二十大、二十届三中全会和全国教育大会精神，加强宪法法治教育，电子信息学院根据《广东省教育厅关于开展202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  <w:lang w:val="en-US" w:eastAsia="zh-CN"/>
        </w:rPr>
        <w:t>5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</w:rPr>
        <w:t>年全省教育系统“宪法宣传周”活动的通知》精神，于202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  <w:lang w:val="en-US" w:eastAsia="zh-CN"/>
        </w:rPr>
        <w:t>5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</w:rPr>
        <w:t>年12月4日开展宪法晨读和宪法宣传活动。</w:t>
      </w:r>
    </w:p>
    <w:p w14:paraId="1A42D4E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13680" cy="5165725"/>
            <wp:effectExtent l="0" t="0" r="0" b="0"/>
            <wp:docPr id="1" name="图片 1" descr="5bce210c7b125bf5e7e54a8d68835c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bce210c7b125bf5e7e54a8d68835cb0"/>
                    <pic:cNvPicPr>
                      <a:picLocks noChangeAspect="1"/>
                    </pic:cNvPicPr>
                  </pic:nvPicPr>
                  <pic:blipFill>
                    <a:blip r:embed="rId4"/>
                    <a:srcRect t="26079" r="-1271"/>
                    <a:stretch>
                      <a:fillRect/>
                    </a:stretch>
                  </pic:blipFill>
                  <pic:spPr>
                    <a:xfrm>
                      <a:off x="0" y="0"/>
                      <a:ext cx="5313680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B529B">
      <w:pPr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方正仿宋简体" w:eastAsia="方正仿宋简体" w:cs="黑体" w:hAnsiTheme="minorEastAsia"/>
          <w:kern w:val="0"/>
          <w:sz w:val="32"/>
          <w:szCs w:val="32"/>
        </w:rPr>
        <w:t>本次参与“宪法晨读”活动的对象为来自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  <w:lang w:val="en-US" w:eastAsia="zh-CN"/>
        </w:rPr>
        <w:t>2025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</w:rPr>
        <w:t>级的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  <w:lang w:val="en-US" w:eastAsia="zh-CN"/>
        </w:rPr>
        <w:t>60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</w:rPr>
        <w:t>名学院普法学生代表，地点在教一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  <w:lang w:val="en-US" w:eastAsia="zh-CN"/>
        </w:rPr>
        <w:t>A307教室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</w:rPr>
        <w:t>。活动主要形式为集中阅读、朗诵宪法内容和观看“宪法晨读”活动直播。</w:t>
      </w:r>
    </w:p>
    <w:p w14:paraId="69C7C504">
      <w:pPr>
        <w:jc w:val="both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drawing>
          <wp:inline distT="0" distB="0" distL="114300" distR="114300">
            <wp:extent cx="5193030" cy="3456940"/>
            <wp:effectExtent l="0" t="0" r="7620" b="10160"/>
            <wp:docPr id="2" name="图片 2" descr="825d5d0f220b52abbb5d995d6b1e9f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25d5d0f220b52abbb5d995d6b1e9ffc"/>
                    <pic:cNvPicPr>
                      <a:picLocks noChangeAspect="1"/>
                    </pic:cNvPicPr>
                  </pic:nvPicPr>
                  <pic:blipFill>
                    <a:blip r:embed="rId5"/>
                    <a:srcRect t="12264" r="1160"/>
                    <a:stretch>
                      <a:fillRect/>
                    </a:stretch>
                  </pic:blipFill>
                  <pic:spPr>
                    <a:xfrm>
                      <a:off x="0" y="0"/>
                      <a:ext cx="519303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3383F">
      <w:pPr>
        <w:jc w:val="center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4" name="图片 4" descr="1ac77141e7f5e09ddae3caec31348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ac77141e7f5e09ddae3caec3134880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48F76">
      <w:pPr>
        <w:jc w:val="center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drawing>
          <wp:inline distT="0" distB="0" distL="114300" distR="114300">
            <wp:extent cx="5209540" cy="4350385"/>
            <wp:effectExtent l="0" t="0" r="0" b="0"/>
            <wp:docPr id="5" name="图片 5" descr="b3d89795b8af53b85e02521aee930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3d89795b8af53b85e02521aee930517"/>
                    <pic:cNvPicPr>
                      <a:picLocks noChangeAspect="1"/>
                    </pic:cNvPicPr>
                  </pic:nvPicPr>
                  <pic:blipFill>
                    <a:blip r:embed="rId7"/>
                    <a:srcRect t="37955" r="1014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435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AD515">
      <w:pPr>
        <w:ind w:firstLine="640" w:firstLineChars="200"/>
        <w:jc w:val="left"/>
        <w:rPr>
          <w:rFonts w:hint="eastAsia" w:ascii="方正仿宋简体" w:eastAsia="方正仿宋简体" w:cs="黑体" w:hAnsiTheme="minorEastAsia"/>
          <w:kern w:val="0"/>
          <w:sz w:val="32"/>
          <w:szCs w:val="32"/>
          <w:lang w:eastAsia="zh-CN"/>
        </w:rPr>
      </w:pPr>
      <w:r>
        <w:rPr>
          <w:rFonts w:hint="eastAsia" w:ascii="方正仿宋简体" w:eastAsia="方正仿宋简体" w:cs="黑体" w:hAnsiTheme="minorEastAsia"/>
          <w:kern w:val="0"/>
          <w:sz w:val="32"/>
          <w:szCs w:val="32"/>
        </w:rPr>
        <w:t>本次宪法宣传活动深入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  <w:lang w:eastAsia="zh-CN"/>
        </w:rPr>
        <w:t>同学们心中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</w:rPr>
        <w:t>，有效普及宪法知识，切实增强了学生的法治信仰与实践意识，为构建法治校园、助力社会治理贡献了积极力量。活动收官之际，我们系统复盘实施过程，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  <w:lang w:eastAsia="zh-CN"/>
        </w:rPr>
        <w:t>仍需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</w:rPr>
        <w:t>直面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  <w:lang w:eastAsia="zh-CN"/>
        </w:rPr>
        <w:t>以下的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</w:rPr>
        <w:t>短板不足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  <w:lang w:eastAsia="zh-CN"/>
        </w:rPr>
        <w:t>：</w:t>
      </w:r>
    </w:p>
    <w:p w14:paraId="3845F165">
      <w:pPr>
        <w:ind w:firstLine="640" w:firstLineChars="200"/>
        <w:jc w:val="left"/>
        <w:rPr>
          <w:rFonts w:hint="eastAsia" w:ascii="方正仿宋简体" w:eastAsia="方正仿宋简体" w:cs="黑体" w:hAnsiTheme="minorEastAsia"/>
          <w:kern w:val="0"/>
          <w:sz w:val="32"/>
          <w:szCs w:val="32"/>
          <w:lang w:eastAsia="zh-CN"/>
        </w:rPr>
      </w:pPr>
      <w:r>
        <w:rPr>
          <w:rFonts w:hint="eastAsia" w:ascii="方正仿宋简体" w:eastAsia="方正仿宋简体" w:cs="黑体" w:hAnsiTheme="minorEastAsia"/>
          <w:kern w:val="0"/>
          <w:sz w:val="32"/>
          <w:szCs w:val="32"/>
          <w:lang w:eastAsia="zh-CN"/>
        </w:rPr>
        <w:t>形式创新待突破：部分环节仍以单向灌输为主，短视频、H5等新媒体运用不足；</w:t>
      </w:r>
    </w:p>
    <w:p w14:paraId="00285B6A">
      <w:pPr>
        <w:ind w:firstLine="640" w:firstLineChars="200"/>
        <w:jc w:val="left"/>
        <w:rPr>
          <w:rFonts w:hint="eastAsia" w:ascii="方正仿宋简体" w:eastAsia="方正仿宋简体" w:cs="黑体" w:hAnsiTheme="minorEastAsia"/>
          <w:kern w:val="0"/>
          <w:sz w:val="32"/>
          <w:szCs w:val="32"/>
          <w:lang w:eastAsia="zh-CN"/>
        </w:rPr>
      </w:pPr>
      <w:r>
        <w:rPr>
          <w:rFonts w:hint="eastAsia" w:ascii="方正仿宋简体" w:eastAsia="方正仿宋简体" w:cs="黑体" w:hAnsiTheme="minorEastAsia"/>
          <w:kern w:val="0"/>
          <w:sz w:val="32"/>
          <w:szCs w:val="32"/>
          <w:lang w:eastAsia="zh-CN"/>
        </w:rPr>
        <w:t>深度渗透需加强：宪法精神与日常行为的关联性阐释不够深入；</w:t>
      </w:r>
    </w:p>
    <w:p w14:paraId="47B5C532">
      <w:pPr>
        <w:ind w:firstLine="640" w:firstLineChars="200"/>
        <w:jc w:val="left"/>
        <w:rPr>
          <w:rFonts w:hint="eastAsia" w:ascii="方正仿宋简体" w:eastAsia="方正仿宋简体" w:cs="黑体" w:hAnsiTheme="minorEastAsia"/>
          <w:kern w:val="0"/>
          <w:sz w:val="32"/>
          <w:szCs w:val="32"/>
          <w:lang w:eastAsia="zh-CN"/>
        </w:rPr>
      </w:pPr>
      <w:r>
        <w:rPr>
          <w:rFonts w:hint="eastAsia" w:ascii="方正仿宋简体" w:eastAsia="方正仿宋简体" w:cs="黑体" w:hAnsiTheme="minorEastAsia"/>
          <w:kern w:val="0"/>
          <w:sz w:val="32"/>
          <w:szCs w:val="32"/>
          <w:lang w:eastAsia="zh-CN"/>
        </w:rPr>
        <w:t>长效机制待完善：活动延续性设计不足，尚未形成常态化教育模式。</w:t>
      </w:r>
    </w:p>
    <w:p w14:paraId="32492815">
      <w:pPr>
        <w:ind w:firstLine="640" w:firstLineChars="200"/>
        <w:jc w:val="left"/>
        <w:rPr>
          <w:rFonts w:hint="eastAsia" w:ascii="方正仿宋简体" w:eastAsia="方正仿宋简体" w:cs="黑体" w:hAnsiTheme="minorEastAsia"/>
          <w:kern w:val="0"/>
          <w:sz w:val="32"/>
          <w:szCs w:val="32"/>
          <w:lang w:eastAsia="zh-CN"/>
        </w:rPr>
      </w:pPr>
      <w:r>
        <w:rPr>
          <w:rFonts w:hint="eastAsia" w:ascii="方正仿宋简体" w:eastAsia="方正仿宋简体" w:cs="黑体" w:hAnsiTheme="minorEastAsia"/>
          <w:kern w:val="0"/>
          <w:sz w:val="32"/>
          <w:szCs w:val="32"/>
          <w:lang w:eastAsia="zh-CN"/>
        </w:rPr>
        <w:t>此次总结为后续改进提供了清晰路径。我们将持续优化活动设计，推动宪法教育从"活动化"向"常态化"转型，让法治精神真正落地生根。</w:t>
      </w:r>
      <w:bookmarkStart w:id="0" w:name="_GoBack"/>
      <w:bookmarkEnd w:id="0"/>
    </w:p>
    <w:p w14:paraId="0FA6FBD8">
      <w:pPr>
        <w:ind w:firstLine="640" w:firstLineChars="200"/>
        <w:jc w:val="right"/>
        <w:rPr>
          <w:rFonts w:ascii="方正仿宋简体" w:eastAsia="方正仿宋简体" w:cs="黑体" w:hAnsiTheme="minorEastAsia"/>
          <w:kern w:val="0"/>
          <w:sz w:val="32"/>
          <w:szCs w:val="32"/>
        </w:rPr>
      </w:pPr>
    </w:p>
    <w:p w14:paraId="23925BFE">
      <w:pPr>
        <w:ind w:firstLine="640" w:firstLineChars="200"/>
        <w:jc w:val="right"/>
        <w:rPr>
          <w:rFonts w:ascii="方正仿宋简体" w:eastAsia="方正仿宋简体" w:cs="黑体" w:hAnsiTheme="minorEastAsia"/>
          <w:kern w:val="0"/>
          <w:sz w:val="32"/>
          <w:szCs w:val="32"/>
        </w:rPr>
      </w:pPr>
      <w:r>
        <w:rPr>
          <w:rFonts w:hint="eastAsia" w:ascii="方正仿宋简体" w:eastAsia="方正仿宋简体" w:cs="黑体" w:hAnsiTheme="minorEastAsia"/>
          <w:kern w:val="0"/>
          <w:sz w:val="32"/>
          <w:szCs w:val="32"/>
        </w:rPr>
        <w:t>电子信息学院</w:t>
      </w:r>
    </w:p>
    <w:p w14:paraId="69E860B1">
      <w:pPr>
        <w:ind w:firstLine="640" w:firstLineChars="200"/>
        <w:jc w:val="right"/>
        <w:rPr>
          <w:rFonts w:ascii="方正仿宋简体" w:eastAsia="方正仿宋简体" w:cs="黑体" w:hAnsiTheme="minorEastAsia"/>
          <w:kern w:val="0"/>
          <w:sz w:val="32"/>
          <w:szCs w:val="32"/>
        </w:rPr>
      </w:pPr>
      <w:r>
        <w:rPr>
          <w:rFonts w:hint="eastAsia" w:ascii="方正仿宋简体" w:eastAsia="方正仿宋简体" w:cs="黑体" w:hAnsiTheme="minorEastAsia"/>
          <w:kern w:val="0"/>
          <w:sz w:val="32"/>
          <w:szCs w:val="32"/>
        </w:rPr>
        <w:t>202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  <w:lang w:val="en-US" w:eastAsia="zh-CN"/>
        </w:rPr>
        <w:t>5</w:t>
      </w:r>
      <w:r>
        <w:rPr>
          <w:rFonts w:hint="eastAsia" w:ascii="方正仿宋简体" w:eastAsia="方正仿宋简体" w:cs="黑体" w:hAnsiTheme="minorEastAsia"/>
          <w:kern w:val="0"/>
          <w:sz w:val="32"/>
          <w:szCs w:val="32"/>
        </w:rPr>
        <w:t>年12月4日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297"/>
    <w:rsid w:val="00457904"/>
    <w:rsid w:val="005003A8"/>
    <w:rsid w:val="005412C5"/>
    <w:rsid w:val="00B134AC"/>
    <w:rsid w:val="00C62297"/>
    <w:rsid w:val="00D57C89"/>
    <w:rsid w:val="00F9683B"/>
    <w:rsid w:val="59B8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406</Words>
  <Characters>423</Characters>
  <Lines>3</Lines>
  <Paragraphs>1</Paragraphs>
  <TotalTime>18</TotalTime>
  <ScaleCrop>false</ScaleCrop>
  <LinksUpToDate>false</LinksUpToDate>
  <CharactersWithSpaces>423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2024-12-04T02:03:00Z</dcterms:created>
  <dc:creator>admin</dc:creator>
  <cp:lastModifiedBy>汕职 潇客</cp:lastModifiedBy>
  <dcterms:modified xsi:type="dcterms:W3CDTF">2025-12-04T02:40:47Z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eyJoZGlkIjoiMWVjY2NjMjVlMzk1YWU0NzFhODFkZjg3M2VhZDJkMjciLCJ1c2VySWQiOiIxNDA4NzM3NDYzIn0=</vt:lpwstr>
  </property>
  <property fmtid="{D5CDD505-2E9C-101B-9397-08002B2CF9AE}" pid="3" name="KSOProductBuildVer">
    <vt:lpwstr>2052-12.1.0.23542</vt:lpwstr>
  </property>
  <property fmtid="{D5CDD505-2E9C-101B-9397-08002B2CF9AE}" pid="4" name="ICV">
    <vt:lpwstr>02E60A1E20F6429B846EA843ECFA6F99_12</vt:lpwstr>
  </property>
</Properties>
</file>