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94D82">
      <w:pPr>
        <w:pStyle w:val="2"/>
        <w:spacing w:line="360" w:lineRule="auto"/>
        <w:jc w:val="both"/>
        <w:outlineLvl w:val="2"/>
        <w:rPr>
          <w:rFonts w:hint="eastAsia" w:hAnsi="宋体" w:cs="宋体"/>
          <w:b/>
          <w:bCs/>
        </w:rPr>
      </w:pPr>
      <w:r>
        <w:rPr>
          <w:rFonts w:hint="eastAsia" w:hAnsi="宋体" w:cs="宋体"/>
          <w:b/>
          <w:bCs/>
        </w:rPr>
        <w:t>附件：《汕头职业技术学院应用英语、商务英语专业教学资源库平台建设与服务项目清单》</w:t>
      </w:r>
    </w:p>
    <w:tbl>
      <w:tblPr>
        <w:tblStyle w:val="3"/>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588"/>
        <w:gridCol w:w="623"/>
        <w:gridCol w:w="5981"/>
        <w:gridCol w:w="593"/>
        <w:gridCol w:w="542"/>
      </w:tblGrid>
      <w:tr w14:paraId="36A4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38" w:type="pct"/>
            <w:vMerge w:val="restart"/>
            <w:noWrap/>
            <w:vAlign w:val="center"/>
          </w:tcPr>
          <w:p w14:paraId="50A135EC">
            <w:pPr>
              <w:spacing w:line="400" w:lineRule="exact"/>
              <w:jc w:val="both"/>
              <w:textAlignment w:val="center"/>
              <w:rPr>
                <w:rFonts w:hint="eastAsia" w:ascii="宋体" w:hAnsi="宋体" w:cs="宋体"/>
                <w:b/>
                <w:bCs/>
                <w:szCs w:val="21"/>
              </w:rPr>
            </w:pPr>
            <w:r>
              <w:rPr>
                <w:rFonts w:hint="eastAsia" w:ascii="宋体" w:hAnsi="宋体" w:cs="宋体"/>
                <w:b/>
                <w:bCs/>
                <w:szCs w:val="21"/>
              </w:rPr>
              <w:t>序号</w:t>
            </w:r>
          </w:p>
        </w:tc>
        <w:tc>
          <w:tcPr>
            <w:tcW w:w="336" w:type="pct"/>
            <w:vMerge w:val="restart"/>
            <w:noWrap/>
            <w:vAlign w:val="center"/>
          </w:tcPr>
          <w:p w14:paraId="19717684">
            <w:pPr>
              <w:spacing w:line="400" w:lineRule="exact"/>
              <w:jc w:val="both"/>
              <w:textAlignment w:val="center"/>
              <w:rPr>
                <w:rFonts w:hint="eastAsia" w:ascii="宋体" w:hAnsi="宋体" w:cs="宋体"/>
                <w:b/>
                <w:bCs/>
                <w:szCs w:val="21"/>
              </w:rPr>
            </w:pPr>
            <w:r>
              <w:rPr>
                <w:rFonts w:hint="eastAsia" w:ascii="宋体" w:hAnsi="宋体" w:cs="宋体"/>
                <w:b/>
                <w:bCs/>
                <w:szCs w:val="21"/>
              </w:rPr>
              <w:t>功能系统</w:t>
            </w:r>
          </w:p>
        </w:tc>
        <w:tc>
          <w:tcPr>
            <w:tcW w:w="3775" w:type="pct"/>
            <w:gridSpan w:val="2"/>
            <w:vAlign w:val="center"/>
          </w:tcPr>
          <w:p w14:paraId="5BF25D97">
            <w:pPr>
              <w:spacing w:line="400" w:lineRule="exact"/>
              <w:jc w:val="both"/>
              <w:textAlignment w:val="center"/>
              <w:rPr>
                <w:rFonts w:hint="eastAsia" w:ascii="宋体" w:hAnsi="宋体" w:cs="宋体"/>
                <w:b/>
                <w:bCs/>
                <w:szCs w:val="21"/>
              </w:rPr>
            </w:pPr>
            <w:r>
              <w:rPr>
                <w:rFonts w:hint="eastAsia" w:ascii="宋体" w:hAnsi="宋体" w:cs="宋体"/>
                <w:b/>
                <w:bCs/>
                <w:szCs w:val="21"/>
              </w:rPr>
              <w:t>参数指标</w:t>
            </w:r>
          </w:p>
        </w:tc>
        <w:tc>
          <w:tcPr>
            <w:tcW w:w="339" w:type="pct"/>
            <w:vMerge w:val="restart"/>
            <w:noWrap/>
            <w:vAlign w:val="center"/>
          </w:tcPr>
          <w:p w14:paraId="534698DD">
            <w:pPr>
              <w:spacing w:line="400" w:lineRule="exact"/>
              <w:jc w:val="both"/>
              <w:textAlignment w:val="center"/>
              <w:rPr>
                <w:rFonts w:hint="eastAsia" w:ascii="宋体" w:hAnsi="宋体" w:cs="宋体"/>
                <w:b/>
                <w:bCs/>
                <w:szCs w:val="21"/>
              </w:rPr>
            </w:pPr>
            <w:r>
              <w:rPr>
                <w:rFonts w:hint="eastAsia" w:ascii="宋体" w:hAnsi="宋体" w:cs="宋体"/>
                <w:b/>
                <w:bCs/>
                <w:szCs w:val="21"/>
              </w:rPr>
              <w:t>单位</w:t>
            </w:r>
          </w:p>
        </w:tc>
        <w:tc>
          <w:tcPr>
            <w:tcW w:w="310" w:type="pct"/>
            <w:vMerge w:val="restart"/>
            <w:noWrap/>
            <w:vAlign w:val="center"/>
          </w:tcPr>
          <w:p w14:paraId="436B685A">
            <w:pPr>
              <w:spacing w:line="400" w:lineRule="exact"/>
              <w:jc w:val="both"/>
              <w:textAlignment w:val="center"/>
              <w:rPr>
                <w:rFonts w:hint="eastAsia" w:ascii="宋体" w:hAnsi="宋体" w:cs="宋体"/>
                <w:b/>
                <w:bCs/>
                <w:szCs w:val="21"/>
              </w:rPr>
            </w:pPr>
            <w:r>
              <w:rPr>
                <w:rFonts w:hint="eastAsia" w:ascii="宋体" w:hAnsi="宋体" w:cs="宋体"/>
                <w:b/>
                <w:bCs/>
                <w:szCs w:val="21"/>
              </w:rPr>
              <w:t>数量</w:t>
            </w:r>
          </w:p>
        </w:tc>
      </w:tr>
      <w:tr w14:paraId="5412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38" w:type="pct"/>
            <w:vMerge w:val="continue"/>
            <w:noWrap/>
            <w:vAlign w:val="center"/>
          </w:tcPr>
          <w:p w14:paraId="62056454">
            <w:pPr>
              <w:spacing w:line="400" w:lineRule="exact"/>
              <w:jc w:val="both"/>
              <w:textAlignment w:val="center"/>
              <w:rPr>
                <w:rFonts w:hint="eastAsia" w:ascii="宋体" w:hAnsi="宋体" w:cs="宋体"/>
                <w:b/>
                <w:bCs/>
                <w:szCs w:val="21"/>
              </w:rPr>
            </w:pPr>
          </w:p>
        </w:tc>
        <w:tc>
          <w:tcPr>
            <w:tcW w:w="336" w:type="pct"/>
            <w:vMerge w:val="continue"/>
            <w:noWrap/>
            <w:vAlign w:val="center"/>
          </w:tcPr>
          <w:p w14:paraId="579B1A14">
            <w:pPr>
              <w:spacing w:line="400" w:lineRule="exact"/>
              <w:jc w:val="both"/>
              <w:textAlignment w:val="center"/>
              <w:rPr>
                <w:rFonts w:hint="eastAsia" w:ascii="宋体" w:hAnsi="宋体" w:cs="宋体"/>
                <w:b/>
                <w:bCs/>
                <w:szCs w:val="21"/>
              </w:rPr>
            </w:pPr>
          </w:p>
        </w:tc>
        <w:tc>
          <w:tcPr>
            <w:tcW w:w="356" w:type="pct"/>
            <w:vAlign w:val="center"/>
          </w:tcPr>
          <w:p w14:paraId="1F75D57A">
            <w:pPr>
              <w:spacing w:line="400" w:lineRule="exact"/>
              <w:jc w:val="both"/>
              <w:textAlignment w:val="center"/>
              <w:rPr>
                <w:rFonts w:hint="eastAsia" w:ascii="宋体" w:hAnsi="宋体" w:cs="宋体"/>
                <w:b/>
                <w:bCs/>
                <w:szCs w:val="21"/>
              </w:rPr>
            </w:pPr>
            <w:r>
              <w:rPr>
                <w:rFonts w:hint="eastAsia" w:ascii="宋体" w:hAnsi="宋体" w:cs="宋体"/>
                <w:b/>
                <w:bCs/>
                <w:szCs w:val="21"/>
              </w:rPr>
              <w:t>模块名称</w:t>
            </w:r>
          </w:p>
        </w:tc>
        <w:tc>
          <w:tcPr>
            <w:tcW w:w="3419" w:type="pct"/>
            <w:vAlign w:val="center"/>
          </w:tcPr>
          <w:p w14:paraId="1EBB8BBA">
            <w:pPr>
              <w:spacing w:line="400" w:lineRule="exact"/>
              <w:jc w:val="both"/>
              <w:textAlignment w:val="center"/>
              <w:rPr>
                <w:rFonts w:hint="eastAsia" w:ascii="宋体" w:hAnsi="宋体" w:cs="宋体"/>
                <w:b/>
                <w:bCs/>
                <w:szCs w:val="21"/>
              </w:rPr>
            </w:pPr>
            <w:r>
              <w:rPr>
                <w:rFonts w:hint="eastAsia" w:ascii="宋体" w:hAnsi="宋体" w:cs="宋体"/>
                <w:b/>
                <w:bCs/>
                <w:szCs w:val="21"/>
              </w:rPr>
              <w:t>功能要求</w:t>
            </w:r>
          </w:p>
        </w:tc>
        <w:tc>
          <w:tcPr>
            <w:tcW w:w="339" w:type="pct"/>
            <w:vMerge w:val="continue"/>
            <w:noWrap/>
            <w:vAlign w:val="center"/>
          </w:tcPr>
          <w:p w14:paraId="7CC93815">
            <w:pPr>
              <w:spacing w:line="400" w:lineRule="exact"/>
              <w:jc w:val="both"/>
              <w:textAlignment w:val="center"/>
              <w:rPr>
                <w:rFonts w:hint="eastAsia" w:ascii="宋体" w:hAnsi="宋体" w:cs="宋体"/>
                <w:b/>
                <w:bCs/>
                <w:szCs w:val="21"/>
              </w:rPr>
            </w:pPr>
          </w:p>
        </w:tc>
        <w:tc>
          <w:tcPr>
            <w:tcW w:w="310" w:type="pct"/>
            <w:vMerge w:val="continue"/>
            <w:noWrap/>
            <w:vAlign w:val="center"/>
          </w:tcPr>
          <w:p w14:paraId="518CBDDB">
            <w:pPr>
              <w:spacing w:line="400" w:lineRule="exact"/>
              <w:jc w:val="both"/>
              <w:textAlignment w:val="center"/>
              <w:rPr>
                <w:rFonts w:hint="eastAsia" w:ascii="宋体" w:hAnsi="宋体" w:cs="宋体"/>
                <w:b/>
                <w:bCs/>
                <w:szCs w:val="21"/>
              </w:rPr>
            </w:pPr>
          </w:p>
        </w:tc>
      </w:tr>
      <w:tr w14:paraId="2527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restart"/>
            <w:noWrap/>
            <w:vAlign w:val="center"/>
          </w:tcPr>
          <w:p w14:paraId="506CC25D">
            <w:pPr>
              <w:jc w:val="both"/>
              <w:textAlignment w:val="center"/>
              <w:rPr>
                <w:rFonts w:hint="eastAsia" w:ascii="宋体" w:hAnsi="宋体" w:cs="宋体"/>
                <w:szCs w:val="21"/>
              </w:rPr>
            </w:pPr>
            <w:r>
              <w:rPr>
                <w:rFonts w:hint="eastAsia" w:ascii="宋体" w:hAnsi="宋体" w:cs="宋体"/>
                <w:szCs w:val="21"/>
              </w:rPr>
              <w:t>1</w:t>
            </w:r>
          </w:p>
        </w:tc>
        <w:tc>
          <w:tcPr>
            <w:tcW w:w="336" w:type="pct"/>
            <w:vMerge w:val="restart"/>
            <w:vAlign w:val="center"/>
          </w:tcPr>
          <w:p w14:paraId="06186ADC">
            <w:pPr>
              <w:jc w:val="both"/>
              <w:textAlignment w:val="center"/>
              <w:rPr>
                <w:rFonts w:hint="eastAsia" w:ascii="宋体" w:hAnsi="宋体" w:cs="宋体"/>
                <w:szCs w:val="21"/>
              </w:rPr>
            </w:pPr>
            <w:r>
              <w:rPr>
                <w:rFonts w:hint="eastAsia" w:ascii="宋体" w:hAnsi="宋体" w:cs="宋体"/>
                <w:szCs w:val="21"/>
              </w:rPr>
              <w:t>汕头职业技术学院应用英语、商务英语专业教学资源库平台建设与服务项目</w:t>
            </w:r>
          </w:p>
        </w:tc>
        <w:tc>
          <w:tcPr>
            <w:tcW w:w="356" w:type="pct"/>
            <w:vAlign w:val="center"/>
          </w:tcPr>
          <w:p w14:paraId="021276DB">
            <w:pPr>
              <w:jc w:val="both"/>
              <w:rPr>
                <w:rFonts w:hint="eastAsia" w:ascii="宋体" w:hAnsi="宋体" w:cs="宋体"/>
                <w:szCs w:val="21"/>
              </w:rPr>
            </w:pPr>
            <w:r>
              <w:rPr>
                <w:rFonts w:hint="eastAsia" w:ascii="宋体" w:hAnsi="宋体" w:cs="宋体"/>
                <w:szCs w:val="21"/>
              </w:rPr>
              <w:t>资源库站点管理</w:t>
            </w:r>
          </w:p>
        </w:tc>
        <w:tc>
          <w:tcPr>
            <w:tcW w:w="3419" w:type="pct"/>
          </w:tcPr>
          <w:p w14:paraId="461D54B0">
            <w:pPr>
              <w:widowControl w:val="0"/>
              <w:jc w:val="both"/>
              <w:rPr>
                <w:rFonts w:hint="eastAsia" w:ascii="宋体" w:hAnsi="宋体" w:cs="宋体"/>
                <w:szCs w:val="21"/>
              </w:rPr>
            </w:pPr>
            <w:r>
              <w:rPr>
                <w:rFonts w:hint="eastAsia" w:ascii="宋体" w:hAnsi="宋体" w:cs="宋体"/>
                <w:szCs w:val="21"/>
              </w:rPr>
              <w:t>汕头职业技术学院结合应用外语学院专业建设实际需要，现拟采购专业教学资源库平台建设与服务。本项目为应用英语、商务英语两个专业分别建设独立的专业教学资源库站点，平台由学院教师自主建设资源内容，供应商需提供平台建设及技术支持服务。项目建成后将服务于学院师生教学、实训及社会学习者的资源需求，推动专业教学改革，提高教育教学效率和质量。</w:t>
            </w:r>
          </w:p>
          <w:p w14:paraId="5FD78535">
            <w:pPr>
              <w:widowControl w:val="0"/>
              <w:numPr>
                <w:ilvl w:val="0"/>
                <w:numId w:val="1"/>
              </w:numPr>
              <w:jc w:val="both"/>
              <w:rPr>
                <w:rFonts w:hint="eastAsia" w:ascii="宋体" w:hAnsi="宋体" w:cs="宋体"/>
                <w:szCs w:val="21"/>
              </w:rPr>
            </w:pPr>
            <w:r>
              <w:rPr>
                <w:rFonts w:hint="eastAsia" w:ascii="宋体" w:hAnsi="宋体" w:cs="宋体"/>
                <w:szCs w:val="21"/>
              </w:rPr>
              <w:t>站点导航与栏目：每个站点一套独立导航和栏目管理。专业教学资源库导航栏支持包括导航在内的至少5级栏目建设。</w:t>
            </w:r>
          </w:p>
          <w:p w14:paraId="68C25798">
            <w:pPr>
              <w:widowControl w:val="0"/>
              <w:numPr>
                <w:ilvl w:val="0"/>
                <w:numId w:val="1"/>
              </w:numPr>
              <w:jc w:val="both"/>
              <w:rPr>
                <w:rFonts w:hint="eastAsia" w:ascii="宋体" w:hAnsi="宋体" w:cs="宋体"/>
                <w:szCs w:val="21"/>
              </w:rPr>
            </w:pPr>
            <w:r>
              <w:rPr>
                <w:rFonts w:hint="eastAsia" w:asciiTheme="minorEastAsia" w:hAnsiTheme="minorEastAsia"/>
                <w:sz w:val="24"/>
                <w:szCs w:val="24"/>
              </w:rPr>
              <w:t>★</w:t>
            </w:r>
            <w:r>
              <w:rPr>
                <w:rFonts w:hint="eastAsia" w:ascii="宋体" w:hAnsi="宋体" w:cs="宋体"/>
                <w:szCs w:val="21"/>
              </w:rPr>
              <w:t>平台在物理安全、网络安全、主机安全、应用安全、数据安全、管理要求等方面，不低于《信息安全等级保护管理办法》规定的信息系统安全等级保护三级基本要求。（提供相关证明材料并加盖供应商公章）</w:t>
            </w:r>
          </w:p>
        </w:tc>
        <w:tc>
          <w:tcPr>
            <w:tcW w:w="339" w:type="pct"/>
            <w:vAlign w:val="center"/>
          </w:tcPr>
          <w:p w14:paraId="5A65CCAB">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65D8890B">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5D71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2065E792">
            <w:pPr>
              <w:jc w:val="both"/>
              <w:textAlignment w:val="center"/>
              <w:rPr>
                <w:rFonts w:hint="eastAsia" w:ascii="宋体" w:hAnsi="宋体" w:cs="宋体"/>
                <w:szCs w:val="21"/>
              </w:rPr>
            </w:pPr>
          </w:p>
        </w:tc>
        <w:tc>
          <w:tcPr>
            <w:tcW w:w="336" w:type="pct"/>
            <w:vMerge w:val="continue"/>
            <w:vAlign w:val="center"/>
          </w:tcPr>
          <w:p w14:paraId="18DF3EA7">
            <w:pPr>
              <w:jc w:val="both"/>
              <w:textAlignment w:val="center"/>
              <w:rPr>
                <w:rFonts w:hint="eastAsia" w:ascii="宋体" w:hAnsi="宋体" w:cs="宋体"/>
                <w:szCs w:val="21"/>
              </w:rPr>
            </w:pPr>
          </w:p>
        </w:tc>
        <w:tc>
          <w:tcPr>
            <w:tcW w:w="356" w:type="pct"/>
            <w:vAlign w:val="center"/>
          </w:tcPr>
          <w:p w14:paraId="13768F90">
            <w:pPr>
              <w:jc w:val="both"/>
              <w:rPr>
                <w:rFonts w:hint="eastAsia" w:ascii="宋体" w:hAnsi="宋体" w:cs="宋体"/>
                <w:szCs w:val="21"/>
              </w:rPr>
            </w:pPr>
            <w:r>
              <w:rPr>
                <w:rFonts w:hint="eastAsia" w:ascii="宋体" w:hAnsi="宋体" w:cs="宋体"/>
                <w:szCs w:val="21"/>
              </w:rPr>
              <w:t>专业管理</w:t>
            </w:r>
          </w:p>
        </w:tc>
        <w:tc>
          <w:tcPr>
            <w:tcW w:w="3419" w:type="pct"/>
          </w:tcPr>
          <w:p w14:paraId="791E02EA">
            <w:pPr>
              <w:widowControl w:val="0"/>
              <w:jc w:val="both"/>
              <w:rPr>
                <w:rFonts w:hint="eastAsia" w:ascii="宋体" w:hAnsi="宋体" w:cs="宋体"/>
                <w:szCs w:val="21"/>
              </w:rPr>
            </w:pPr>
            <w:r>
              <w:rPr>
                <w:rFonts w:hint="eastAsia" w:ascii="宋体" w:hAnsi="宋体" w:cs="宋体"/>
                <w:szCs w:val="21"/>
              </w:rPr>
              <w:t>在专业管理功能中可以对站点中的专业进行管理，支持单独专业站点的形式和添加其他专业进行组群的专业群形式。可以实现在专业站点对添加进来的组群专业站点的资源管理和数据统计。支持编辑</w:t>
            </w:r>
            <w:r>
              <w:rPr>
                <w:rFonts w:hint="eastAsia" w:ascii="宋体" w:hAnsi="宋体" w:cs="宋体"/>
                <w:szCs w:val="21"/>
                <w:lang w:eastAsia="zh-Hans"/>
              </w:rPr>
              <w:t>修改专业名称、添加专业的负责人</w:t>
            </w:r>
            <w:r>
              <w:rPr>
                <w:rFonts w:hint="eastAsia" w:ascii="宋体" w:hAnsi="宋体" w:cs="宋体"/>
                <w:szCs w:val="21"/>
              </w:rPr>
              <w:t>、</w:t>
            </w:r>
            <w:r>
              <w:rPr>
                <w:rFonts w:hint="eastAsia" w:ascii="宋体" w:hAnsi="宋体" w:cs="宋体"/>
                <w:szCs w:val="21"/>
                <w:lang w:eastAsia="zh-Hans"/>
              </w:rPr>
              <w:t>设置专业所属大类和专业类、上传专业卡片封面等操作</w:t>
            </w:r>
            <w:r>
              <w:rPr>
                <w:rFonts w:hint="eastAsia" w:ascii="宋体" w:hAnsi="宋体" w:cs="宋体"/>
                <w:szCs w:val="21"/>
              </w:rPr>
              <w:t>。</w:t>
            </w:r>
          </w:p>
        </w:tc>
        <w:tc>
          <w:tcPr>
            <w:tcW w:w="339" w:type="pct"/>
            <w:vAlign w:val="center"/>
          </w:tcPr>
          <w:p w14:paraId="7908755E">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322A088C">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1A6B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6A1BCDD9">
            <w:pPr>
              <w:jc w:val="both"/>
              <w:textAlignment w:val="center"/>
              <w:rPr>
                <w:rFonts w:hint="eastAsia" w:ascii="宋体" w:hAnsi="宋体" w:cs="宋体"/>
                <w:szCs w:val="21"/>
              </w:rPr>
            </w:pPr>
          </w:p>
        </w:tc>
        <w:tc>
          <w:tcPr>
            <w:tcW w:w="336" w:type="pct"/>
            <w:vMerge w:val="continue"/>
            <w:vAlign w:val="center"/>
          </w:tcPr>
          <w:p w14:paraId="3DBF83EC">
            <w:pPr>
              <w:jc w:val="both"/>
              <w:textAlignment w:val="center"/>
              <w:rPr>
                <w:rFonts w:hint="eastAsia" w:ascii="宋体" w:hAnsi="宋体" w:cs="宋体"/>
                <w:szCs w:val="21"/>
              </w:rPr>
            </w:pPr>
          </w:p>
        </w:tc>
        <w:tc>
          <w:tcPr>
            <w:tcW w:w="356" w:type="pct"/>
            <w:vAlign w:val="center"/>
          </w:tcPr>
          <w:p w14:paraId="320FB2C4">
            <w:pPr>
              <w:widowControl w:val="0"/>
              <w:jc w:val="both"/>
              <w:rPr>
                <w:rFonts w:hint="eastAsia" w:ascii="宋体" w:hAnsi="宋体" w:cs="宋体"/>
                <w:szCs w:val="21"/>
              </w:rPr>
            </w:pPr>
            <w:r>
              <w:rPr>
                <w:rFonts w:hint="eastAsia" w:ascii="宋体" w:hAnsi="宋体" w:cs="宋体"/>
                <w:szCs w:val="21"/>
              </w:rPr>
              <w:t>门户管理</w:t>
            </w:r>
          </w:p>
        </w:tc>
        <w:tc>
          <w:tcPr>
            <w:tcW w:w="3419" w:type="pct"/>
          </w:tcPr>
          <w:p w14:paraId="75771D57">
            <w:pPr>
              <w:jc w:val="both"/>
              <w:rPr>
                <w:rFonts w:hint="eastAsia" w:ascii="宋体" w:hAnsi="宋体" w:cs="宋体"/>
                <w:szCs w:val="21"/>
              </w:rPr>
            </w:pPr>
            <w:r>
              <w:rPr>
                <w:rFonts w:hint="eastAsia" w:ascii="宋体" w:hAnsi="宋体" w:cs="宋体"/>
                <w:szCs w:val="21"/>
              </w:rPr>
              <w:t>平台门户管理和站点门户管理：提供充分展示学校教学特色的门户网站，实现新闻公告动态显示、精品资源推荐、热门资源排行、一站式检索以及学校的教学资源与课程展示。具有校园代表性的大图片展示区。门户管理功能支持门户配置，在门户配置中，可实现对门户管理后台的操作，智慧门户编辑、门户登录设置、模块数据统计等。可直接在门户后台对各模块的内容进行设置，也可编辑网页对门户整体布局进行设计。</w:t>
            </w:r>
          </w:p>
          <w:p w14:paraId="6AEEEBD9">
            <w:pPr>
              <w:jc w:val="both"/>
              <w:rPr>
                <w:rFonts w:hint="eastAsia" w:ascii="宋体" w:hAnsi="宋体" w:cs="宋体"/>
                <w:szCs w:val="21"/>
              </w:rPr>
            </w:pPr>
            <w:r>
              <w:rPr>
                <w:rFonts w:hint="eastAsia" w:ascii="宋体" w:hAnsi="宋体" w:cs="宋体"/>
                <w:szCs w:val="21"/>
              </w:rPr>
              <w:t>1、具备信息发布和页面自定义、访问统计分析、统一检索等功能。</w:t>
            </w:r>
          </w:p>
          <w:p w14:paraId="786FBBD8">
            <w:pPr>
              <w:jc w:val="both"/>
              <w:rPr>
                <w:rFonts w:hint="eastAsia" w:ascii="宋体" w:hAnsi="宋体" w:cs="宋体"/>
                <w:szCs w:val="21"/>
              </w:rPr>
            </w:pPr>
            <w:r>
              <w:rPr>
                <w:rFonts w:hint="eastAsia" w:ascii="宋体" w:hAnsi="宋体" w:cs="宋体"/>
                <w:szCs w:val="21"/>
              </w:rPr>
              <w:t>2、具备精品资源的展示以及后台推荐控制功能。</w:t>
            </w:r>
          </w:p>
          <w:p w14:paraId="2273B210">
            <w:pPr>
              <w:jc w:val="both"/>
              <w:rPr>
                <w:rFonts w:hint="eastAsia" w:ascii="宋体" w:hAnsi="宋体" w:cs="宋体"/>
                <w:szCs w:val="21"/>
              </w:rPr>
            </w:pPr>
            <w:r>
              <w:rPr>
                <w:rFonts w:hint="eastAsia" w:ascii="宋体" w:hAnsi="宋体" w:cs="宋体"/>
                <w:szCs w:val="21"/>
              </w:rPr>
              <w:t>3、具备多种资源排行展示，如精品课程排行、课程网站排行、课程资料排行等。</w:t>
            </w:r>
          </w:p>
          <w:p w14:paraId="7E4BFEE0">
            <w:pPr>
              <w:jc w:val="both"/>
              <w:rPr>
                <w:rFonts w:hint="eastAsia" w:ascii="宋体" w:hAnsi="宋体" w:cs="宋体"/>
                <w:szCs w:val="21"/>
              </w:rPr>
            </w:pPr>
            <w:r>
              <w:rPr>
                <w:rFonts w:hint="eastAsia" w:ascii="宋体" w:hAnsi="宋体" w:cs="宋体"/>
                <w:szCs w:val="21"/>
              </w:rPr>
              <w:t>4、</w:t>
            </w:r>
            <w:r>
              <w:rPr>
                <w:rFonts w:hint="eastAsia" w:asciiTheme="minorEastAsia" w:hAnsiTheme="minorEastAsia"/>
                <w:sz w:val="24"/>
                <w:szCs w:val="24"/>
              </w:rPr>
              <w:t>★</w:t>
            </w:r>
            <w:r>
              <w:rPr>
                <w:rFonts w:hint="eastAsia" w:ascii="宋体" w:hAnsi="宋体" w:cs="宋体"/>
                <w:szCs w:val="21"/>
              </w:rPr>
              <w:t>门户编辑支持可视化，可拖拽式的智慧门户搭建，随时自主改变模块尺寸大小、位置和样式，减少门户制作的操作成本。（提供系统截图加盖供应商公章）</w:t>
            </w:r>
          </w:p>
          <w:p w14:paraId="7C14FFF0">
            <w:pPr>
              <w:jc w:val="both"/>
              <w:rPr>
                <w:rFonts w:hint="eastAsia" w:ascii="宋体" w:hAnsi="宋体" w:cs="宋体"/>
                <w:szCs w:val="21"/>
              </w:rPr>
            </w:pPr>
            <w:r>
              <w:rPr>
                <w:rFonts w:hint="eastAsia" w:ascii="宋体" w:hAnsi="宋体" w:cs="宋体"/>
                <w:szCs w:val="21"/>
              </w:rPr>
              <w:t>5、</w:t>
            </w:r>
            <w:r>
              <w:rPr>
                <w:rFonts w:hint="eastAsia" w:asciiTheme="minorEastAsia" w:hAnsiTheme="minorEastAsia"/>
                <w:sz w:val="24"/>
                <w:szCs w:val="24"/>
              </w:rPr>
              <w:t>★</w:t>
            </w:r>
            <w:r>
              <w:rPr>
                <w:rFonts w:hint="eastAsia" w:ascii="宋体" w:hAnsi="宋体" w:cs="宋体"/>
                <w:szCs w:val="21"/>
              </w:rPr>
              <w:t>门户提供不少于30套门户样式风格模版，选择模板后可快速生成含部分常用应用模块的页面。支持对模板内容进行编辑调整，提供背景设置、主题颜色设置，页面上的应用、图标等相关元素自主实现与主题色统一。（提供系统截图并加盖供应商公章）</w:t>
            </w:r>
          </w:p>
        </w:tc>
        <w:tc>
          <w:tcPr>
            <w:tcW w:w="339" w:type="pct"/>
            <w:vAlign w:val="center"/>
          </w:tcPr>
          <w:p w14:paraId="64247F99">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7FCD9F39">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3A27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4D906A03">
            <w:pPr>
              <w:jc w:val="both"/>
              <w:textAlignment w:val="center"/>
              <w:rPr>
                <w:rFonts w:hint="eastAsia" w:ascii="宋体" w:hAnsi="宋体" w:cs="宋体"/>
                <w:szCs w:val="21"/>
              </w:rPr>
            </w:pPr>
          </w:p>
        </w:tc>
        <w:tc>
          <w:tcPr>
            <w:tcW w:w="336" w:type="pct"/>
            <w:vMerge w:val="continue"/>
            <w:vAlign w:val="center"/>
          </w:tcPr>
          <w:p w14:paraId="67F00E1D">
            <w:pPr>
              <w:jc w:val="both"/>
              <w:textAlignment w:val="center"/>
              <w:rPr>
                <w:rFonts w:hint="eastAsia" w:ascii="宋体" w:hAnsi="宋体" w:cs="宋体"/>
                <w:szCs w:val="21"/>
              </w:rPr>
            </w:pPr>
          </w:p>
        </w:tc>
        <w:tc>
          <w:tcPr>
            <w:tcW w:w="356" w:type="pct"/>
            <w:vAlign w:val="center"/>
          </w:tcPr>
          <w:p w14:paraId="635DF303">
            <w:pPr>
              <w:widowControl w:val="0"/>
              <w:jc w:val="both"/>
              <w:rPr>
                <w:rFonts w:hint="eastAsia" w:ascii="宋体" w:hAnsi="宋体" w:cs="宋体"/>
                <w:szCs w:val="21"/>
              </w:rPr>
            </w:pPr>
            <w:r>
              <w:rPr>
                <w:rFonts w:hint="eastAsia" w:ascii="宋体" w:hAnsi="宋体" w:cs="宋体"/>
                <w:szCs w:val="21"/>
              </w:rPr>
              <w:t>数据管理及运用</w:t>
            </w:r>
          </w:p>
        </w:tc>
        <w:tc>
          <w:tcPr>
            <w:tcW w:w="3419" w:type="pct"/>
          </w:tcPr>
          <w:p w14:paraId="5670E7EC">
            <w:pPr>
              <w:numPr>
                <w:ilvl w:val="0"/>
                <w:numId w:val="2"/>
              </w:numPr>
              <w:jc w:val="both"/>
              <w:rPr>
                <w:rFonts w:hint="eastAsia" w:ascii="宋体" w:hAnsi="宋体" w:cs="宋体"/>
                <w:szCs w:val="21"/>
              </w:rPr>
            </w:pPr>
            <w:r>
              <w:rPr>
                <w:rFonts w:hint="eastAsia" w:ascii="宋体" w:hAnsi="宋体" w:cs="宋体"/>
                <w:szCs w:val="21"/>
              </w:rPr>
              <w:t>支持查看当前资源库的基础数据。可以自由配置是否在门户中显示。包括今日访问量、总访问量、素材总数、课程总数、用户总数、资源存储量、试题总量、视频总时长、企业人数、教师人数、学生人数、社会人数、视频总时长、标准化课程总数、资源活跃率、资源引用率等。</w:t>
            </w:r>
          </w:p>
          <w:p w14:paraId="59055DD0">
            <w:pPr>
              <w:numPr>
                <w:ilvl w:val="0"/>
                <w:numId w:val="2"/>
              </w:numPr>
              <w:jc w:val="both"/>
              <w:rPr>
                <w:rFonts w:hint="eastAsia" w:ascii="宋体" w:hAnsi="宋体" w:cs="宋体"/>
                <w:szCs w:val="21"/>
              </w:rPr>
            </w:pPr>
            <w:r>
              <w:rPr>
                <w:rFonts w:hint="eastAsia" w:asciiTheme="minorEastAsia" w:hAnsiTheme="minorEastAsia"/>
                <w:sz w:val="24"/>
                <w:szCs w:val="24"/>
              </w:rPr>
              <w:t>★</w:t>
            </w:r>
            <w:r>
              <w:rPr>
                <w:rFonts w:hint="eastAsia" w:ascii="宋体" w:hAnsi="宋体" w:cs="宋体"/>
                <w:szCs w:val="21"/>
              </w:rPr>
              <w:t>为保证课程及资源的运行数据完整性和延续性，教学资源库需与应用外语学院使用的网络教学平台（stpt.fanya.chaoxing.com）无缝对接，需实现教学资源库数据可以与网络教学平台互通，包括但不限于：资源访问数据，课程活动互动数据，课程数据，学生学习数据，课程资源引用数据等；同时网络教学平台上的所有课程以及课程资源可支持一键推送到专业教学资源库平台中，供应商须承诺提供免费对接服务，若对接已有网络教学平台的供应商需支付相关对接开发费用，则由本项目中标供应商负责，相关费用包含在项目总体报价中。（投标人须提供承诺函，并加盖公章）</w:t>
            </w:r>
          </w:p>
        </w:tc>
        <w:tc>
          <w:tcPr>
            <w:tcW w:w="339" w:type="pct"/>
            <w:vAlign w:val="center"/>
          </w:tcPr>
          <w:p w14:paraId="5D75FF07">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25EB2F0F">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6CEE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0FDB3B41">
            <w:pPr>
              <w:jc w:val="both"/>
              <w:textAlignment w:val="center"/>
              <w:rPr>
                <w:rFonts w:hint="eastAsia" w:ascii="宋体" w:hAnsi="宋体" w:cs="宋体"/>
                <w:szCs w:val="21"/>
              </w:rPr>
            </w:pPr>
          </w:p>
        </w:tc>
        <w:tc>
          <w:tcPr>
            <w:tcW w:w="336" w:type="pct"/>
            <w:vMerge w:val="continue"/>
            <w:vAlign w:val="center"/>
          </w:tcPr>
          <w:p w14:paraId="7E14A733">
            <w:pPr>
              <w:jc w:val="both"/>
              <w:textAlignment w:val="center"/>
              <w:rPr>
                <w:rFonts w:hint="eastAsia" w:ascii="宋体" w:hAnsi="宋体" w:cs="宋体"/>
                <w:szCs w:val="21"/>
              </w:rPr>
            </w:pPr>
          </w:p>
        </w:tc>
        <w:tc>
          <w:tcPr>
            <w:tcW w:w="356" w:type="pct"/>
            <w:vAlign w:val="center"/>
          </w:tcPr>
          <w:p w14:paraId="0A3372FC">
            <w:pPr>
              <w:widowControl w:val="0"/>
              <w:jc w:val="both"/>
              <w:rPr>
                <w:rFonts w:hint="eastAsia" w:ascii="宋体" w:hAnsi="宋体" w:cs="宋体"/>
                <w:szCs w:val="21"/>
              </w:rPr>
            </w:pPr>
            <w:r>
              <w:rPr>
                <w:rFonts w:hint="eastAsia" w:ascii="宋体" w:hAnsi="宋体" w:cs="宋体"/>
                <w:szCs w:val="21"/>
              </w:rPr>
              <w:t>资源管理</w:t>
            </w:r>
          </w:p>
        </w:tc>
        <w:tc>
          <w:tcPr>
            <w:tcW w:w="3419" w:type="pct"/>
          </w:tcPr>
          <w:p w14:paraId="390C0821">
            <w:pPr>
              <w:widowControl w:val="0"/>
              <w:jc w:val="both"/>
              <w:rPr>
                <w:rFonts w:hint="eastAsia" w:ascii="宋体" w:hAnsi="宋体" w:cs="宋体"/>
                <w:szCs w:val="21"/>
              </w:rPr>
            </w:pPr>
            <w:r>
              <w:rPr>
                <w:rFonts w:hint="eastAsia" w:ascii="宋体" w:hAnsi="宋体" w:cs="宋体"/>
                <w:szCs w:val="21"/>
              </w:rPr>
              <w:t>1、在资源管理功能中，支持对当前专业资源库的课程、素材、题库、试题进行增加、删除、修改、审核通过等管理。</w:t>
            </w:r>
          </w:p>
          <w:p w14:paraId="75ECEC6F">
            <w:pPr>
              <w:jc w:val="both"/>
              <w:rPr>
                <w:rFonts w:hint="eastAsia" w:ascii="宋体" w:hAnsi="宋体" w:cs="宋体"/>
                <w:szCs w:val="21"/>
              </w:rPr>
            </w:pPr>
            <w:r>
              <w:rPr>
                <w:rFonts w:hint="eastAsia" w:ascii="宋体" w:hAnsi="宋体" w:cs="宋体"/>
                <w:szCs w:val="21"/>
              </w:rPr>
              <w:t>2、课程管理中：支持筛选项进行查询不同单位，不同状态，以及是否有智慧课程。选择对应课程分类后，可以通过创建、模板导入、链接添加、课程库导入等方式进行添加课程。支持编辑课程是否标记为课程模板，支持校内其他教师直接进行引用课程创建；支持删除，即将课程进行移除出本资源库；上架/下架是否允许校内其他教师直接引用被标记为课程模板的课程；查看引用，指可以查询被标记为示范教学包的课程引用出去的数据。</w:t>
            </w:r>
          </w:p>
        </w:tc>
        <w:tc>
          <w:tcPr>
            <w:tcW w:w="339" w:type="pct"/>
            <w:vAlign w:val="center"/>
          </w:tcPr>
          <w:p w14:paraId="0EF27E8B">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6EB5ECE4">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548F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6C817EA9">
            <w:pPr>
              <w:jc w:val="both"/>
              <w:textAlignment w:val="center"/>
              <w:rPr>
                <w:rFonts w:hint="eastAsia" w:ascii="宋体" w:hAnsi="宋体" w:cs="宋体"/>
                <w:szCs w:val="21"/>
              </w:rPr>
            </w:pPr>
          </w:p>
        </w:tc>
        <w:tc>
          <w:tcPr>
            <w:tcW w:w="336" w:type="pct"/>
            <w:vMerge w:val="continue"/>
            <w:vAlign w:val="center"/>
          </w:tcPr>
          <w:p w14:paraId="07F7621A">
            <w:pPr>
              <w:jc w:val="both"/>
              <w:textAlignment w:val="center"/>
              <w:rPr>
                <w:rFonts w:hint="eastAsia" w:ascii="宋体" w:hAnsi="宋体" w:cs="宋体"/>
                <w:szCs w:val="21"/>
              </w:rPr>
            </w:pPr>
          </w:p>
        </w:tc>
        <w:tc>
          <w:tcPr>
            <w:tcW w:w="356" w:type="pct"/>
            <w:vAlign w:val="center"/>
          </w:tcPr>
          <w:p w14:paraId="66391C0D">
            <w:pPr>
              <w:widowControl w:val="0"/>
              <w:jc w:val="both"/>
              <w:rPr>
                <w:rFonts w:hint="eastAsia" w:ascii="宋体" w:hAnsi="宋体" w:cs="宋体"/>
                <w:szCs w:val="21"/>
              </w:rPr>
            </w:pPr>
            <w:r>
              <w:rPr>
                <w:rFonts w:hint="eastAsia" w:ascii="宋体" w:hAnsi="宋体" w:cs="宋体"/>
                <w:szCs w:val="21"/>
              </w:rPr>
              <w:t>数据统计</w:t>
            </w:r>
          </w:p>
        </w:tc>
        <w:tc>
          <w:tcPr>
            <w:tcW w:w="3419" w:type="pct"/>
          </w:tcPr>
          <w:p w14:paraId="462613C5">
            <w:pPr>
              <w:jc w:val="both"/>
              <w:rPr>
                <w:rFonts w:hint="eastAsia" w:ascii="宋体" w:hAnsi="宋体" w:cs="宋体"/>
                <w:szCs w:val="21"/>
              </w:rPr>
            </w:pPr>
            <w:r>
              <w:rPr>
                <w:rFonts w:hint="eastAsia" w:ascii="宋体" w:hAnsi="宋体" w:cs="宋体"/>
                <w:szCs w:val="21"/>
              </w:rPr>
              <w:t>1、</w:t>
            </w:r>
            <w:r>
              <w:rPr>
                <w:rFonts w:hint="eastAsia" w:asciiTheme="minorEastAsia" w:hAnsiTheme="minorEastAsia"/>
                <w:sz w:val="24"/>
                <w:szCs w:val="24"/>
              </w:rPr>
              <w:t>★</w:t>
            </w:r>
            <w:r>
              <w:rPr>
                <w:rFonts w:hint="eastAsia" w:ascii="宋体" w:hAnsi="宋体" w:cs="宋体"/>
                <w:szCs w:val="21"/>
              </w:rPr>
              <w:t>课程详细情况统计：支持详细查看每门课程的访问数、教授班级数、教授学生数、发布作业数、发布考试数、PBL数量、发帖总数、回帖总数、讨论总数、音视频总时长、专题阅读总时长。（提供系统截图加盖供应商公章）</w:t>
            </w:r>
          </w:p>
        </w:tc>
        <w:tc>
          <w:tcPr>
            <w:tcW w:w="339" w:type="pct"/>
            <w:vAlign w:val="center"/>
          </w:tcPr>
          <w:p w14:paraId="00E9CF0A">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38EDFEED">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4EC9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157FD9B4">
            <w:pPr>
              <w:jc w:val="both"/>
              <w:textAlignment w:val="center"/>
              <w:rPr>
                <w:rFonts w:hint="eastAsia" w:ascii="宋体" w:hAnsi="宋体" w:cs="宋体"/>
                <w:szCs w:val="21"/>
              </w:rPr>
            </w:pPr>
          </w:p>
        </w:tc>
        <w:tc>
          <w:tcPr>
            <w:tcW w:w="336" w:type="pct"/>
            <w:vMerge w:val="continue"/>
            <w:vAlign w:val="center"/>
          </w:tcPr>
          <w:p w14:paraId="00660A60">
            <w:pPr>
              <w:jc w:val="both"/>
              <w:textAlignment w:val="center"/>
              <w:rPr>
                <w:rFonts w:hint="eastAsia" w:ascii="宋体" w:hAnsi="宋体" w:cs="宋体"/>
                <w:szCs w:val="21"/>
              </w:rPr>
            </w:pPr>
          </w:p>
        </w:tc>
        <w:tc>
          <w:tcPr>
            <w:tcW w:w="356" w:type="pct"/>
            <w:vAlign w:val="center"/>
          </w:tcPr>
          <w:p w14:paraId="225F89AD">
            <w:pPr>
              <w:widowControl w:val="0"/>
              <w:jc w:val="both"/>
              <w:rPr>
                <w:rFonts w:hint="eastAsia" w:ascii="宋体" w:hAnsi="宋体" w:cs="宋体"/>
                <w:szCs w:val="21"/>
              </w:rPr>
            </w:pPr>
            <w:r>
              <w:rPr>
                <w:rFonts w:hint="eastAsia" w:ascii="宋体" w:hAnsi="宋体" w:cs="宋体"/>
                <w:szCs w:val="21"/>
              </w:rPr>
              <w:t>资源应用</w:t>
            </w:r>
          </w:p>
        </w:tc>
        <w:tc>
          <w:tcPr>
            <w:tcW w:w="3419" w:type="pct"/>
          </w:tcPr>
          <w:p w14:paraId="09047FB4">
            <w:pPr>
              <w:jc w:val="both"/>
              <w:rPr>
                <w:rFonts w:hint="eastAsia" w:ascii="宋体" w:hAnsi="宋体" w:cs="宋体"/>
                <w:szCs w:val="21"/>
              </w:rPr>
            </w:pPr>
            <w:r>
              <w:rPr>
                <w:rFonts w:hint="eastAsia" w:ascii="宋体" w:hAnsi="宋体" w:cs="宋体"/>
                <w:szCs w:val="21"/>
              </w:rPr>
              <w:t>建设完善的资源库，可为学校师生在专业教学、实习实训、技能培训、生产现场和日常生活等场景中提供资源支持，推动专业教学改革，提高教育教学效率和质量，也可为其他职业学校、普通高校、行业、企业、科研院所和社会学习者提供服务，实现优质资源共享，扩大优质资源受益群体覆盖面。</w:t>
            </w:r>
          </w:p>
          <w:p w14:paraId="0B620285">
            <w:pPr>
              <w:jc w:val="both"/>
              <w:rPr>
                <w:rFonts w:hint="eastAsia" w:ascii="宋体" w:hAnsi="宋体" w:cs="宋体"/>
                <w:szCs w:val="21"/>
              </w:rPr>
            </w:pPr>
            <w:r>
              <w:rPr>
                <w:rFonts w:hint="eastAsia" w:ascii="宋体" w:hAnsi="宋体" w:cs="宋体"/>
                <w:szCs w:val="21"/>
              </w:rPr>
              <w:t>1、资源展示：独立页面，带信息、评分、评论等。进入单个资源详情中，可见到资源的展示界面，展示界面包括资源上传者、所属单位、关键词、资源内容简介、评分等介绍。支持多角度、多纬度的数据统计查询，对资源的下载次数及阅读次数进行统计。帮助用户准确判断资源的可用性。视频文件，上传可自动截第一帧画面作为缩略图。</w:t>
            </w:r>
          </w:p>
          <w:p w14:paraId="07109E0F">
            <w:pPr>
              <w:jc w:val="both"/>
              <w:rPr>
                <w:rFonts w:hint="eastAsia" w:ascii="宋体" w:hAnsi="宋体" w:cs="宋体"/>
                <w:szCs w:val="21"/>
              </w:rPr>
            </w:pPr>
            <w:r>
              <w:rPr>
                <w:rFonts w:hint="eastAsia" w:ascii="宋体" w:hAnsi="宋体" w:cs="宋体"/>
                <w:szCs w:val="21"/>
              </w:rPr>
              <w:t>2、资源收藏：登录用户可将自己在教学资源库中发现的比较好的资源收藏到个人空间中方便自己随用随取。用户可自主收藏优质资源，用户个性化个人空间的设置，充分发挥资源共享功能。</w:t>
            </w:r>
          </w:p>
          <w:p w14:paraId="6B4C81C0">
            <w:pPr>
              <w:jc w:val="both"/>
              <w:rPr>
                <w:rFonts w:hint="eastAsia" w:ascii="宋体" w:hAnsi="宋体" w:cs="宋体"/>
                <w:szCs w:val="21"/>
              </w:rPr>
            </w:pPr>
            <w:r>
              <w:rPr>
                <w:rFonts w:hint="eastAsia" w:ascii="宋体" w:hAnsi="宋体" w:cs="宋体"/>
                <w:szCs w:val="21"/>
              </w:rPr>
              <w:t>3、资源添加到课程：教师用户可将教学资源库中的资源添加至自己的网络课程的共享资料中，也可以将资源直接推送到课程某个章节中，用于课程教学使用。</w:t>
            </w:r>
          </w:p>
          <w:p w14:paraId="5D181BE5">
            <w:pPr>
              <w:jc w:val="both"/>
              <w:rPr>
                <w:rFonts w:hint="eastAsia" w:ascii="宋体" w:hAnsi="宋体" w:cs="宋体"/>
                <w:szCs w:val="21"/>
              </w:rPr>
            </w:pPr>
            <w:r>
              <w:rPr>
                <w:rFonts w:hint="eastAsia" w:ascii="宋体" w:hAnsi="宋体" w:cs="宋体"/>
                <w:szCs w:val="21"/>
              </w:rPr>
              <w:t>4、课程建设者可通过系统推荐或者自行检索将教学资源库中的资源引用到网络课程章节中，并可以设置成为任务点，丰富课程资源；</w:t>
            </w:r>
          </w:p>
          <w:p w14:paraId="6A9B6B9E">
            <w:pPr>
              <w:jc w:val="both"/>
              <w:rPr>
                <w:rFonts w:hint="eastAsia" w:ascii="宋体" w:hAnsi="宋体" w:cs="宋体"/>
                <w:szCs w:val="21"/>
              </w:rPr>
            </w:pPr>
            <w:r>
              <w:rPr>
                <w:rFonts w:hint="eastAsia" w:ascii="宋体" w:hAnsi="宋体" w:cs="宋体"/>
                <w:szCs w:val="21"/>
              </w:rPr>
              <w:t>5、★学校目前使用的网络教学平台中的课程资源，也可推送至教学资源库中进行共享，最终达到教学资源库和网络教学平台数据双向互通，课程数据保持同步更新，教师无需重复操作。（提供系统截图加盖供应商公章）</w:t>
            </w:r>
          </w:p>
          <w:p w14:paraId="77D02D79">
            <w:pPr>
              <w:adjustRightInd w:val="0"/>
              <w:snapToGrid w:val="0"/>
              <w:jc w:val="both"/>
              <w:rPr>
                <w:rFonts w:hint="eastAsia" w:ascii="宋体" w:hAnsi="宋体" w:cs="宋体"/>
                <w:szCs w:val="21"/>
              </w:rPr>
            </w:pPr>
            <w:r>
              <w:rPr>
                <w:rFonts w:hint="eastAsia" w:ascii="宋体" w:hAnsi="宋体" w:cs="宋体"/>
                <w:szCs w:val="21"/>
              </w:rPr>
              <w:t>6、★提供表单引擎。用于创建各类信息采集、问卷调查类型的微应用。适用于活动或课程报名、问卷和满意度调查等场景，支持信息采集、统计、数据查看及导出。（提供系统截图加盖供应商公章）</w:t>
            </w:r>
          </w:p>
          <w:p w14:paraId="56E6D56C">
            <w:pPr>
              <w:pStyle w:val="5"/>
              <w:jc w:val="both"/>
              <w:rPr>
                <w:rFonts w:hint="eastAsia" w:ascii="宋体" w:hAnsi="宋体" w:cs="宋体"/>
                <w:kern w:val="0"/>
                <w:szCs w:val="21"/>
              </w:rPr>
            </w:pPr>
            <w:r>
              <w:rPr>
                <w:rFonts w:hint="eastAsia" w:ascii="宋体" w:hAnsi="宋体" w:cs="宋体"/>
                <w:kern w:val="0"/>
                <w:szCs w:val="21"/>
              </w:rPr>
              <w:t>7、★示范教学包：需整合中高职等各层次院校，各学科、专业的教学示范包资源，教师可以在教学资源库建设中随时引用教学示范包中的课程资源、课堂活动示例、题库等内容，同时可以根据教师自己课程的需要进行重新组合使用。（提供系统截图并加盖供应商公章）</w:t>
            </w:r>
          </w:p>
          <w:p w14:paraId="770FBBDE">
            <w:pPr>
              <w:adjustRightInd w:val="0"/>
              <w:snapToGrid w:val="0"/>
              <w:jc w:val="both"/>
              <w:rPr>
                <w:rFonts w:hint="eastAsia" w:ascii="宋体" w:hAnsi="宋体" w:cs="宋体"/>
                <w:szCs w:val="21"/>
              </w:rPr>
            </w:pPr>
            <w:r>
              <w:rPr>
                <w:rFonts w:hint="eastAsia" w:ascii="宋体" w:hAnsi="宋体" w:cs="宋体"/>
                <w:szCs w:val="21"/>
              </w:rPr>
              <w:t>8、★</w:t>
            </w:r>
            <w:r>
              <w:rPr>
                <w:rFonts w:hint="eastAsia" w:ascii="宋体" w:hAnsi="宋体" w:cs="宋体"/>
                <w:szCs w:val="21"/>
                <w:lang w:val="zh-CN"/>
              </w:rPr>
              <w:t>备课资源库中需要具有电子图书和学术视频，</w:t>
            </w:r>
            <w:r>
              <w:rPr>
                <w:rFonts w:hint="eastAsia" w:ascii="宋体" w:hAnsi="宋体" w:cs="宋体"/>
                <w:szCs w:val="21"/>
              </w:rPr>
              <w:t>同时备课资源库可对接学校图书馆的馆藏电子资源及在线图书资源，</w:t>
            </w:r>
            <w:r>
              <w:rPr>
                <w:rFonts w:hint="eastAsia" w:ascii="宋体" w:hAnsi="宋体" w:cs="宋体"/>
                <w:szCs w:val="21"/>
                <w:lang w:val="zh-CN"/>
              </w:rPr>
              <w:t>教师可以直接添加备课资源库中的资源到教学资源库中。备课资源库</w:t>
            </w:r>
            <w:r>
              <w:rPr>
                <w:rFonts w:hint="eastAsia" w:ascii="宋体" w:hAnsi="宋体" w:cs="宋体"/>
                <w:szCs w:val="21"/>
              </w:rPr>
              <w:t>需与网络教学平台无缝对接，教师在使用网络教学平台进行课程建设、备课、授课过程中随时可以搜索、引用、无缝插入备课资源库中的资源，全面辅助教师教学和学生学习。（提供系统截图并加盖供应商公章）</w:t>
            </w:r>
          </w:p>
        </w:tc>
        <w:tc>
          <w:tcPr>
            <w:tcW w:w="339" w:type="pct"/>
            <w:vAlign w:val="center"/>
          </w:tcPr>
          <w:p w14:paraId="77C1AEA6">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0884FBDC">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648F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178984B0">
            <w:pPr>
              <w:jc w:val="both"/>
              <w:textAlignment w:val="center"/>
              <w:rPr>
                <w:rFonts w:hint="eastAsia" w:ascii="宋体" w:hAnsi="宋体" w:cs="宋体"/>
                <w:szCs w:val="21"/>
              </w:rPr>
            </w:pPr>
          </w:p>
        </w:tc>
        <w:tc>
          <w:tcPr>
            <w:tcW w:w="336" w:type="pct"/>
            <w:vMerge w:val="continue"/>
            <w:vAlign w:val="center"/>
          </w:tcPr>
          <w:p w14:paraId="7938D8FF">
            <w:pPr>
              <w:jc w:val="both"/>
              <w:textAlignment w:val="center"/>
              <w:rPr>
                <w:rFonts w:hint="eastAsia" w:ascii="宋体" w:hAnsi="宋体" w:cs="宋体"/>
                <w:szCs w:val="21"/>
              </w:rPr>
            </w:pPr>
          </w:p>
        </w:tc>
        <w:tc>
          <w:tcPr>
            <w:tcW w:w="356" w:type="pct"/>
            <w:vAlign w:val="center"/>
          </w:tcPr>
          <w:p w14:paraId="6B6DD643">
            <w:pPr>
              <w:spacing w:before="156" w:beforeLines="50" w:after="156" w:afterLines="50"/>
              <w:jc w:val="both"/>
              <w:rPr>
                <w:rFonts w:hint="eastAsia" w:ascii="宋体" w:hAnsi="宋体" w:cs="宋体"/>
                <w:color w:val="000000"/>
                <w:szCs w:val="21"/>
              </w:rPr>
            </w:pPr>
            <w:r>
              <w:rPr>
                <w:rFonts w:hint="eastAsia" w:ascii="宋体" w:hAnsi="宋体" w:cs="宋体"/>
                <w:color w:val="000000"/>
                <w:szCs w:val="21"/>
              </w:rPr>
              <w:t>移动学习应用</w:t>
            </w:r>
          </w:p>
        </w:tc>
        <w:tc>
          <w:tcPr>
            <w:tcW w:w="3419" w:type="pct"/>
          </w:tcPr>
          <w:p w14:paraId="00C0494B">
            <w:pPr>
              <w:jc w:val="both"/>
              <w:rPr>
                <w:rFonts w:hint="eastAsia" w:ascii="宋体" w:hAnsi="宋体" w:cs="宋体"/>
                <w:szCs w:val="21"/>
              </w:rPr>
            </w:pPr>
            <w:r>
              <w:rPr>
                <w:rFonts w:hint="eastAsia" w:ascii="宋体" w:hAnsi="宋体" w:cs="宋体"/>
                <w:szCs w:val="21"/>
              </w:rPr>
              <w:t>1、</w:t>
            </w:r>
            <w:r>
              <w:rPr>
                <w:rFonts w:hint="eastAsia" w:asciiTheme="minorEastAsia" w:hAnsiTheme="minorEastAsia"/>
                <w:sz w:val="24"/>
                <w:szCs w:val="24"/>
              </w:rPr>
              <w:t>★</w:t>
            </w:r>
            <w:r>
              <w:rPr>
                <w:rFonts w:hint="eastAsia" w:ascii="宋体" w:hAnsi="宋体" w:cs="宋体"/>
                <w:szCs w:val="21"/>
              </w:rPr>
              <w:t>平台需支持手机和平板电脑等智能移动终端设备，提供iOS和Android系统的移动客户端APP，实现课程管理、在线学习实现、讨论、答疑、交互、消息推送、发布并进行移动测试和成绩查询等功能，老师和学生可以随时随地的进行教学、学习、交流。（提供系统截图并加盖供应商公章）</w:t>
            </w:r>
          </w:p>
          <w:p w14:paraId="55D6C783">
            <w:pPr>
              <w:jc w:val="both"/>
              <w:rPr>
                <w:rFonts w:hint="eastAsia" w:ascii="宋体" w:hAnsi="宋体" w:cs="宋体"/>
                <w:szCs w:val="21"/>
              </w:rPr>
            </w:pPr>
            <w:r>
              <w:rPr>
                <w:rFonts w:hint="eastAsia" w:ascii="宋体" w:hAnsi="宋体" w:cs="宋体"/>
                <w:szCs w:val="21"/>
              </w:rPr>
              <w:t>2、支持手机端、电脑端发起视频直播，学生可以通过手机观看直播并留言。</w:t>
            </w:r>
          </w:p>
          <w:p w14:paraId="605F5FE1">
            <w:pPr>
              <w:jc w:val="both"/>
              <w:rPr>
                <w:rFonts w:hint="eastAsia" w:ascii="宋体" w:hAnsi="宋体" w:cs="宋体"/>
                <w:szCs w:val="21"/>
              </w:rPr>
            </w:pPr>
            <w:r>
              <w:rPr>
                <w:rFonts w:hint="eastAsia" w:ascii="宋体" w:hAnsi="宋体" w:cs="宋体"/>
                <w:szCs w:val="21"/>
              </w:rPr>
              <w:t>3、PC端与移动端的学习进度保持同步，学生在任何终端上，都可以实现学习记录的持续性，系统也可对任何终端的学习行为进行监控。</w:t>
            </w:r>
          </w:p>
          <w:p w14:paraId="70FC2307">
            <w:pPr>
              <w:jc w:val="both"/>
              <w:rPr>
                <w:rFonts w:hint="eastAsia" w:ascii="宋体" w:hAnsi="宋体" w:cs="宋体"/>
                <w:szCs w:val="21"/>
              </w:rPr>
            </w:pPr>
            <w:r>
              <w:rPr>
                <w:rFonts w:hint="eastAsia" w:ascii="宋体" w:hAnsi="宋体" w:cs="宋体"/>
                <w:szCs w:val="21"/>
              </w:rPr>
              <w:t>4、终端管理支持对移动端页面进行管理。支持编辑移动端页面的显示名称、邀请码、是否允许通过输入邀请码加单位。并支持按角色配置个人空间，可以按角色配置不同的移动端页面，提供多套模版供用户选择，可以进行应用配置、轮播图调整。</w:t>
            </w:r>
          </w:p>
          <w:p w14:paraId="50570251">
            <w:pPr>
              <w:jc w:val="both"/>
              <w:rPr>
                <w:rFonts w:hint="eastAsia" w:ascii="宋体" w:hAnsi="宋体" w:cs="宋体"/>
                <w:szCs w:val="21"/>
              </w:rPr>
            </w:pPr>
            <w:r>
              <w:rPr>
                <w:rFonts w:hint="eastAsia" w:ascii="宋体" w:hAnsi="宋体" w:cs="宋体"/>
                <w:szCs w:val="21"/>
              </w:rPr>
              <w:t>5、</w:t>
            </w:r>
            <w:r>
              <w:rPr>
                <w:rFonts w:hint="eastAsia" w:asciiTheme="minorEastAsia" w:hAnsiTheme="minorEastAsia"/>
                <w:sz w:val="24"/>
                <w:szCs w:val="24"/>
              </w:rPr>
              <w:t>★</w:t>
            </w:r>
            <w:r>
              <w:rPr>
                <w:rFonts w:hint="eastAsia" w:ascii="宋体" w:hAnsi="宋体" w:cs="宋体"/>
                <w:szCs w:val="21"/>
              </w:rPr>
              <w:t>提供应用管理模块。支持应用引擎、应用市场、自建应用等多种应用添加模式。支持通过自建方式对接第三方应用，提供移动端、PC端、管理端地址填写入口（提供系统截图并加盖供应商公章）</w:t>
            </w:r>
          </w:p>
        </w:tc>
        <w:tc>
          <w:tcPr>
            <w:tcW w:w="339" w:type="pct"/>
            <w:vAlign w:val="center"/>
          </w:tcPr>
          <w:p w14:paraId="3EE07EC1">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23B52C8E">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r w14:paraId="38B5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 w:type="pct"/>
            <w:vMerge w:val="continue"/>
            <w:noWrap/>
            <w:vAlign w:val="center"/>
          </w:tcPr>
          <w:p w14:paraId="09FFF9D9">
            <w:pPr>
              <w:jc w:val="both"/>
              <w:textAlignment w:val="center"/>
              <w:rPr>
                <w:rFonts w:hint="eastAsia" w:ascii="宋体" w:hAnsi="宋体" w:cs="宋体"/>
                <w:szCs w:val="21"/>
              </w:rPr>
            </w:pPr>
          </w:p>
        </w:tc>
        <w:tc>
          <w:tcPr>
            <w:tcW w:w="336" w:type="pct"/>
            <w:vMerge w:val="continue"/>
            <w:vAlign w:val="center"/>
          </w:tcPr>
          <w:p w14:paraId="24060B0D">
            <w:pPr>
              <w:jc w:val="both"/>
              <w:textAlignment w:val="center"/>
              <w:rPr>
                <w:rFonts w:hint="eastAsia" w:ascii="宋体" w:hAnsi="宋体" w:cs="宋体"/>
                <w:szCs w:val="21"/>
              </w:rPr>
            </w:pPr>
          </w:p>
        </w:tc>
        <w:tc>
          <w:tcPr>
            <w:tcW w:w="356" w:type="pct"/>
            <w:vAlign w:val="center"/>
          </w:tcPr>
          <w:p w14:paraId="3250E26B">
            <w:pPr>
              <w:spacing w:before="156" w:beforeLines="50" w:after="156" w:afterLines="50"/>
              <w:jc w:val="both"/>
              <w:rPr>
                <w:rFonts w:hint="eastAsia" w:ascii="宋体" w:hAnsi="宋体" w:cs="宋体"/>
                <w:color w:val="000000"/>
                <w:szCs w:val="21"/>
              </w:rPr>
            </w:pPr>
            <w:r>
              <w:rPr>
                <w:rFonts w:hint="eastAsia" w:ascii="宋体" w:hAnsi="宋体" w:cs="宋体"/>
                <w:color w:val="000000"/>
                <w:szCs w:val="21"/>
              </w:rPr>
              <w:t>资源库课程内智能化功能应用</w:t>
            </w:r>
          </w:p>
        </w:tc>
        <w:tc>
          <w:tcPr>
            <w:tcW w:w="3419" w:type="pct"/>
          </w:tcPr>
          <w:p w14:paraId="6FFC97F9">
            <w:pPr>
              <w:pStyle w:val="5"/>
              <w:jc w:val="both"/>
              <w:rPr>
                <w:rFonts w:hint="eastAsia" w:ascii="宋体" w:hAnsi="宋体" w:cs="宋体"/>
                <w:szCs w:val="21"/>
              </w:rPr>
            </w:pPr>
            <w:r>
              <w:rPr>
                <w:rFonts w:hint="eastAsia" w:ascii="宋体" w:hAnsi="宋体" w:cs="宋体"/>
                <w:szCs w:val="21"/>
              </w:rPr>
              <w:t>需提供AI助教功能，针对资源库的课程里面的内容与知识进行知识答疑、资源推荐、智能出题、学习督促提醒等。基于深度学习技术，根据用户反馈和数据主动优化自身的模型和算法，从而增加场景的适应性及功能的针对性。</w:t>
            </w:r>
          </w:p>
          <w:p w14:paraId="4544C30E">
            <w:pPr>
              <w:pStyle w:val="5"/>
              <w:jc w:val="both"/>
              <w:rPr>
                <w:rFonts w:hint="eastAsia" w:ascii="宋体" w:hAnsi="宋体" w:cs="宋体"/>
                <w:szCs w:val="21"/>
              </w:rPr>
            </w:pPr>
            <w:r>
              <w:rPr>
                <w:rFonts w:hint="eastAsia" w:ascii="宋体" w:hAnsi="宋体" w:cs="宋体"/>
                <w:szCs w:val="21"/>
              </w:rPr>
              <w:t>1、支持在不同的学习时段推送智能学习提示语；</w:t>
            </w:r>
          </w:p>
          <w:p w14:paraId="0F256232">
            <w:pPr>
              <w:pStyle w:val="5"/>
              <w:jc w:val="both"/>
              <w:rPr>
                <w:rFonts w:hint="eastAsia" w:ascii="宋体" w:hAnsi="宋体" w:cs="宋体"/>
                <w:szCs w:val="21"/>
              </w:rPr>
            </w:pPr>
            <w:r>
              <w:rPr>
                <w:rFonts w:hint="eastAsia" w:ascii="宋体" w:hAnsi="宋体" w:cs="宋体"/>
                <w:szCs w:val="21"/>
              </w:rPr>
              <w:t>2、支持问答时智能推荐问题关联的相关微应用；</w:t>
            </w:r>
          </w:p>
          <w:p w14:paraId="4B273E91">
            <w:pPr>
              <w:pStyle w:val="5"/>
              <w:jc w:val="both"/>
              <w:rPr>
                <w:rFonts w:hint="eastAsia" w:ascii="宋体" w:hAnsi="宋体" w:cs="宋体"/>
                <w:szCs w:val="21"/>
              </w:rPr>
            </w:pPr>
            <w:r>
              <w:rPr>
                <w:rFonts w:hint="eastAsia" w:ascii="宋体" w:hAnsi="宋体" w:cs="宋体"/>
                <w:szCs w:val="21"/>
              </w:rPr>
              <w:t>3、</w:t>
            </w:r>
            <w:r>
              <w:rPr>
                <w:rFonts w:hint="eastAsia" w:asciiTheme="minorEastAsia" w:hAnsiTheme="minorEastAsia"/>
                <w:sz w:val="24"/>
                <w:szCs w:val="24"/>
              </w:rPr>
              <w:t>★</w:t>
            </w:r>
            <w:r>
              <w:rPr>
                <w:rFonts w:hint="eastAsia" w:ascii="宋体" w:hAnsi="宋体" w:cs="宋体"/>
                <w:szCs w:val="21"/>
              </w:rPr>
              <w:t>支持查询图书、期刊等文献，根据用户输入问题推荐相关文献，图书、期刊等推荐文献可在线查看原文和文献传递；针对学生学习进度和掌握情况，针对性的推荐学习资源，包括课内资源和学习拓展资源。（提供系统截图加盖供应商公章）</w:t>
            </w:r>
          </w:p>
          <w:p w14:paraId="3150BCBC">
            <w:pPr>
              <w:pStyle w:val="5"/>
              <w:jc w:val="both"/>
              <w:rPr>
                <w:rFonts w:hint="eastAsia" w:ascii="宋体" w:hAnsi="宋体" w:cs="宋体"/>
                <w:szCs w:val="21"/>
              </w:rPr>
            </w:pPr>
            <w:r>
              <w:rPr>
                <w:rFonts w:hint="eastAsia" w:ascii="宋体" w:hAnsi="宋体" w:cs="宋体"/>
                <w:szCs w:val="21"/>
              </w:rPr>
              <w:t>4.</w:t>
            </w:r>
            <w:r>
              <w:rPr>
                <w:rFonts w:hint="eastAsia" w:asciiTheme="minorEastAsia" w:hAnsiTheme="minorEastAsia"/>
                <w:sz w:val="24"/>
                <w:szCs w:val="24"/>
              </w:rPr>
              <w:t>★</w:t>
            </w:r>
            <w:r>
              <w:rPr>
                <w:rFonts w:hint="eastAsia" w:ascii="宋体" w:hAnsi="宋体" w:cs="宋体"/>
                <w:szCs w:val="21"/>
              </w:rPr>
              <w:t>AI助教输出的答案支持显示来源，可截取显示与答案有关的原文内容，也可通过来源跳转回原文全文展开学习。</w:t>
            </w:r>
            <w:r>
              <w:rPr>
                <w:rFonts w:hint="eastAsia" w:ascii="宋体" w:hAnsi="宋体" w:cs="宋体"/>
                <w:kern w:val="0"/>
                <w:szCs w:val="21"/>
              </w:rPr>
              <w:t>（提供系统截图并加盖供应商公章）</w:t>
            </w:r>
          </w:p>
          <w:p w14:paraId="2FAAB544">
            <w:pPr>
              <w:pStyle w:val="5"/>
              <w:jc w:val="both"/>
              <w:rPr>
                <w:rFonts w:hint="eastAsia" w:ascii="宋体" w:hAnsi="宋体" w:cs="宋体"/>
                <w:szCs w:val="21"/>
              </w:rPr>
            </w:pPr>
            <w:r>
              <w:rPr>
                <w:rFonts w:hint="eastAsia" w:ascii="宋体" w:hAnsi="宋体" w:cs="宋体"/>
                <w:szCs w:val="21"/>
              </w:rPr>
              <w:t>5.</w:t>
            </w:r>
            <w:r>
              <w:rPr>
                <w:rFonts w:hint="eastAsia" w:asciiTheme="minorEastAsia" w:hAnsiTheme="minorEastAsia"/>
                <w:sz w:val="24"/>
                <w:szCs w:val="24"/>
              </w:rPr>
              <w:t>★</w:t>
            </w:r>
            <w:r>
              <w:rPr>
                <w:rFonts w:hint="eastAsia" w:ascii="宋体" w:hAnsi="宋体" w:cs="宋体"/>
                <w:szCs w:val="21"/>
              </w:rPr>
              <w:t>支持AI实践功能，须具备基于AI技术的多维实践任务设计，即可构建情景对话、作品上传，围绕知识点制定路径，也能根据不同专业需求，进行口语或者代码练习。通过多模态数据采集与分析，实现对学生实践成果的自动化评估与智能反馈</w:t>
            </w:r>
            <w:r>
              <w:rPr>
                <w:rFonts w:hint="eastAsia" w:ascii="宋体" w:hAnsi="宋体" w:cs="宋体"/>
                <w:kern w:val="0"/>
                <w:szCs w:val="21"/>
              </w:rPr>
              <w:t>（提供系统截图并加盖供应商公章）</w:t>
            </w:r>
          </w:p>
          <w:p w14:paraId="3901BA76">
            <w:pPr>
              <w:pStyle w:val="5"/>
              <w:jc w:val="both"/>
              <w:rPr>
                <w:rFonts w:hint="eastAsia" w:ascii="宋体" w:hAnsi="宋体" w:cs="宋体"/>
                <w:kern w:val="0"/>
                <w:szCs w:val="21"/>
              </w:rPr>
            </w:pPr>
            <w:r>
              <w:rPr>
                <w:rFonts w:hint="eastAsia" w:ascii="宋体" w:hAnsi="宋体" w:cs="宋体"/>
                <w:szCs w:val="21"/>
              </w:rPr>
              <w:t>6.</w:t>
            </w:r>
            <w:r>
              <w:rPr>
                <w:rFonts w:hint="eastAsia" w:asciiTheme="minorEastAsia" w:hAnsiTheme="minorEastAsia"/>
                <w:sz w:val="24"/>
                <w:szCs w:val="24"/>
              </w:rPr>
              <w:t>★</w:t>
            </w:r>
            <w:r>
              <w:rPr>
                <w:rFonts w:hint="eastAsia" w:ascii="宋体" w:hAnsi="宋体" w:cs="宋体"/>
                <w:szCs w:val="21"/>
              </w:rPr>
              <w:t>支持视频理解，借助AI视频分析解读功能，实现机器问答、视频内容词云、脑图、试题、字幕生成等功能，视频中涉及的知识点将被自动识别并形成知识点片段和知识点词云。同时也支持针对章节中的视频，支持AI进行解析，生成视频摘要、视频分段总结、提取知识点、生成思维导图。</w:t>
            </w:r>
            <w:r>
              <w:rPr>
                <w:rFonts w:hint="eastAsia" w:ascii="宋体" w:hAnsi="宋体" w:cs="宋体"/>
                <w:kern w:val="0"/>
                <w:szCs w:val="21"/>
              </w:rPr>
              <w:t>（提供系统截图并加盖供应商公章）</w:t>
            </w:r>
          </w:p>
          <w:p w14:paraId="7C4A1F03">
            <w:pPr>
              <w:pStyle w:val="5"/>
              <w:jc w:val="both"/>
              <w:rPr>
                <w:rFonts w:hint="eastAsia" w:ascii="宋体" w:hAnsi="宋体" w:cs="宋体"/>
                <w:kern w:val="0"/>
                <w:szCs w:val="21"/>
              </w:rPr>
            </w:pPr>
            <w:r>
              <w:rPr>
                <w:rFonts w:hint="eastAsia" w:ascii="宋体" w:hAnsi="宋体" w:cs="宋体"/>
                <w:kern w:val="0"/>
                <w:szCs w:val="21"/>
              </w:rPr>
              <w:t>7、</w:t>
            </w:r>
            <w:r>
              <w:rPr>
                <w:rFonts w:hint="eastAsia" w:asciiTheme="minorEastAsia" w:hAnsiTheme="minorEastAsia"/>
                <w:sz w:val="24"/>
                <w:szCs w:val="24"/>
              </w:rPr>
              <w:t>★</w:t>
            </w:r>
            <w:r>
              <w:rPr>
                <w:rFonts w:hint="eastAsia" w:ascii="宋体" w:hAnsi="宋体" w:cs="宋体"/>
                <w:kern w:val="0"/>
                <w:szCs w:val="21"/>
              </w:rPr>
              <w:t>AI口语测评题：须具备输入需要学生跟读的文本的功能，学生通过系统录制跟读的音频，系统对录音进行语音分析，评估其完整度、准确度和流利度，并给出针对性的评分和反馈意见。须具备选择包括汉语、英语及日语、韩语、俄语等多种小语种，设置评分宽度等功能。</w:t>
            </w:r>
          </w:p>
          <w:p w14:paraId="1153C1B8">
            <w:pPr>
              <w:pStyle w:val="5"/>
              <w:jc w:val="both"/>
              <w:rPr>
                <w:rFonts w:hint="eastAsia" w:ascii="宋体" w:hAnsi="宋体" w:cs="宋体"/>
                <w:szCs w:val="21"/>
              </w:rPr>
            </w:pPr>
            <w:r>
              <w:rPr>
                <w:rFonts w:hint="eastAsia" w:ascii="宋体" w:hAnsi="宋体" w:cs="宋体"/>
                <w:kern w:val="0"/>
                <w:sz w:val="21"/>
                <w:szCs w:val="21"/>
              </w:rPr>
              <w:t>8、</w:t>
            </w:r>
            <w:r>
              <w:rPr>
                <w:rFonts w:hint="eastAsia" w:asciiTheme="minorEastAsia" w:hAnsiTheme="minorEastAsia"/>
                <w:sz w:val="24"/>
                <w:szCs w:val="24"/>
              </w:rPr>
              <w:t>★</w:t>
            </w:r>
            <w:r>
              <w:rPr>
                <w:rFonts w:hint="eastAsia" w:ascii="宋体" w:hAnsi="宋体" w:cs="宋体"/>
                <w:szCs w:val="21"/>
              </w:rPr>
              <w:t>对课程建设系统中的视频进行智能分析，自动匹配课程中的知识点，并在视频对应的时间点进行自动打点，同时基于人工智能技术生成知识点词云分析并展示；视频播放时学生可以定位到时间点观看对应知识点的视频讲解。</w:t>
            </w:r>
            <w:r>
              <w:rPr>
                <w:rFonts w:hint="eastAsia" w:ascii="宋体" w:hAnsi="宋体" w:cs="宋体"/>
                <w:kern w:val="0"/>
                <w:szCs w:val="21"/>
              </w:rPr>
              <w:t>（提供系统截图并加盖供应商公章）</w:t>
            </w:r>
          </w:p>
        </w:tc>
        <w:tc>
          <w:tcPr>
            <w:tcW w:w="339" w:type="pct"/>
            <w:vAlign w:val="center"/>
          </w:tcPr>
          <w:p w14:paraId="320F1E87">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套</w:t>
            </w:r>
          </w:p>
        </w:tc>
        <w:tc>
          <w:tcPr>
            <w:tcW w:w="310" w:type="pct"/>
            <w:vAlign w:val="center"/>
          </w:tcPr>
          <w:p w14:paraId="1B2438B9">
            <w:pPr>
              <w:shd w:val="clear" w:color="auto" w:fill="FFFFFF"/>
              <w:jc w:val="both"/>
              <w:textAlignment w:val="baseline"/>
              <w:rPr>
                <w:rFonts w:hint="eastAsia" w:ascii="宋体" w:hAnsi="宋体" w:cs="宋体"/>
                <w:color w:val="292929"/>
                <w:szCs w:val="21"/>
                <w:shd w:val="clear" w:color="auto" w:fill="FFFFFF"/>
              </w:rPr>
            </w:pPr>
            <w:r>
              <w:rPr>
                <w:rFonts w:hint="eastAsia" w:ascii="宋体" w:hAnsi="宋体" w:cs="宋体"/>
                <w:color w:val="292929"/>
                <w:szCs w:val="21"/>
                <w:shd w:val="clear" w:color="auto" w:fill="FFFFFF"/>
              </w:rPr>
              <w:t>1</w:t>
            </w:r>
          </w:p>
        </w:tc>
      </w:tr>
    </w:tbl>
    <w:p w14:paraId="4A512609">
      <w:pPr>
        <w:jc w:val="both"/>
        <w:rPr>
          <w:rFonts w:hint="eastAsia" w:asciiTheme="minorEastAsia" w:hAnsiTheme="minorEastAsia" w:eastAsiaTheme="minorEastAsia" w:cstheme="minorEastAsia"/>
          <w:b/>
          <w:bCs/>
          <w:sz w:val="24"/>
          <w:szCs w:val="24"/>
        </w:rPr>
      </w:pPr>
    </w:p>
    <w:p w14:paraId="680C2817">
      <w:pPr>
        <w:jc w:val="both"/>
      </w:pPr>
      <w:r>
        <w:rPr>
          <w:rFonts w:hint="eastAsia" w:ascii="宋体" w:hAnsi="宋体" w:cs="宋体"/>
          <w:kern w:val="2"/>
          <w:szCs w:val="21"/>
        </w:rPr>
        <w:t>注意：标注"★"的条款均为本项目实质性响应条款。供应商须在报价文件中提供：（1）全部★条款对应的技术截图（逐页加盖公章）；（2）书面承诺函，承诺自合同签订之日起10个日历日内完成全部服务内容交付，由学校进行验收，验收不合格超过两次，学校有权取消其中标资格并依法追究违约责任。</w:t>
      </w:r>
    </w:p>
    <w:p w14:paraId="46C437FA">
      <w:pPr>
        <w:keepNext w:val="0"/>
        <w:keepLines w:val="0"/>
        <w:pageBreakBefore w:val="0"/>
        <w:kinsoku/>
        <w:wordWrap/>
        <w:overflowPunct/>
        <w:topLinePunct w:val="0"/>
        <w:autoSpaceDE/>
        <w:autoSpaceDN/>
        <w:bidi w:val="0"/>
        <w:spacing w:line="240" w:lineRule="auto"/>
        <w:jc w:val="both"/>
        <w:outlineLvl w:val="9"/>
        <w:rPr>
          <w:rFonts w:hint="eastAsia" w:ascii="宋体" w:hAnsi="宋体" w:eastAsia="宋体" w:cs="宋体"/>
          <w:b w:val="0"/>
          <w:bCs w:val="0"/>
          <w:kern w:val="2"/>
          <w:sz w:val="21"/>
          <w:szCs w:val="21"/>
          <w:highlight w:val="none"/>
          <w:lang w:val="en-US" w:eastAsia="zh-CN" w:bidi="ar-SA"/>
        </w:rPr>
      </w:pPr>
    </w:p>
    <w:p w14:paraId="7FBF009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AE0C5A"/>
    <w:multiLevelType w:val="singleLevel"/>
    <w:tmpl w:val="D6AE0C5A"/>
    <w:lvl w:ilvl="0" w:tentative="0">
      <w:start w:val="1"/>
      <w:numFmt w:val="decimal"/>
      <w:suff w:val="nothing"/>
      <w:lvlText w:val="%1、"/>
      <w:lvlJc w:val="left"/>
    </w:lvl>
  </w:abstractNum>
  <w:abstractNum w:abstractNumId="1">
    <w:nsid w:val="75FE0B66"/>
    <w:multiLevelType w:val="singleLevel"/>
    <w:tmpl w:val="75FE0B66"/>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AB2505"/>
    <w:rsid w:val="28AB2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widowControl w:val="0"/>
      <w:jc w:val="both"/>
    </w:pPr>
    <w:rPr>
      <w:rFonts w:ascii="宋体" w:hAnsi="Courier New"/>
      <w:szCs w:val="21"/>
    </w:rPr>
  </w:style>
  <w:style w:type="paragraph" w:customStyle="1" w:styleId="5">
    <w:name w:val="_Style 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2026-09-10T10:22:00Z</dcterms:created>
  <dc:creator>小蚊子</dc:creator>
  <cp:lastModifiedBy>小蚊子</cp:lastModifiedBy>
  <dcterms:modified xsi:type="dcterms:W3CDTF">2026-09-10T10:23:20Z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E9E3A9CE158A4BE69F1531D0AB30AB5D_11</vt:lpwstr>
  </property>
  <property fmtid="{D5CDD505-2E9C-101B-9397-08002B2CF9AE}" pid="4" name="KSOTemplateDocerSaveRecord">
    <vt:lpwstr>eyJoZGlkIjoiOWY4YzVkMTRkMjFmMWY2ZmM3NGYyYjM2ZTMxM2Q4ZmUiLCJ1c2VySWQiOiIzMTM3Nzc1MTMifQ==</vt:lpwstr>
  </property>
</Properties>
</file>