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962" w:rsidRPr="00D733E6" w:rsidRDefault="00D733E6">
      <w:pPr>
        <w:jc w:val="left"/>
        <w:rPr>
          <w:rFonts w:ascii="仿宋_GB2312" w:eastAsia="仿宋_GB2312" w:hAnsi="仿宋"/>
          <w:sz w:val="32"/>
          <w:szCs w:val="32"/>
        </w:rPr>
      </w:pPr>
      <w:r w:rsidRPr="00D733E6">
        <w:rPr>
          <w:rFonts w:ascii="仿宋_GB2312" w:eastAsia="仿宋_GB2312" w:hAnsi="仿宋" w:hint="eastAsia"/>
          <w:sz w:val="32"/>
          <w:szCs w:val="32"/>
        </w:rPr>
        <w:t>附件</w:t>
      </w:r>
      <w:r w:rsidRPr="00D733E6">
        <w:rPr>
          <w:rFonts w:ascii="仿宋_GB2312" w:eastAsia="仿宋_GB2312" w:hAnsi="仿宋" w:hint="eastAsia"/>
          <w:sz w:val="32"/>
          <w:szCs w:val="32"/>
        </w:rPr>
        <w:t>3</w:t>
      </w:r>
    </w:p>
    <w:p w:rsidR="00156962" w:rsidRPr="00D733E6" w:rsidRDefault="00D733E6">
      <w:pPr>
        <w:jc w:val="center"/>
        <w:rPr>
          <w:rFonts w:ascii="方正小标宋简体" w:eastAsia="方正小标宋简体"/>
          <w:sz w:val="44"/>
          <w:szCs w:val="44"/>
        </w:rPr>
      </w:pPr>
      <w:r w:rsidRPr="00D733E6">
        <w:rPr>
          <w:rFonts w:ascii="方正小标宋简体" w:eastAsia="方正小标宋简体" w:hint="eastAsia"/>
          <w:sz w:val="44"/>
          <w:szCs w:val="44"/>
        </w:rPr>
        <w:t>附</w:t>
      </w:r>
      <w:r w:rsidRPr="00D733E6">
        <w:rPr>
          <w:rFonts w:ascii="方正小标宋简体" w:eastAsia="方正小标宋简体" w:hint="eastAsia"/>
          <w:sz w:val="44"/>
          <w:szCs w:val="44"/>
        </w:rPr>
        <w:t xml:space="preserve"> </w:t>
      </w:r>
      <w:r w:rsidRPr="00D733E6">
        <w:rPr>
          <w:rFonts w:ascii="方正小标宋简体" w:eastAsia="方正小标宋简体" w:hint="eastAsia"/>
          <w:sz w:val="44"/>
          <w:szCs w:val="44"/>
        </w:rPr>
        <w:t>则</w:t>
      </w:r>
    </w:p>
    <w:p w:rsidR="00156962" w:rsidRPr="00D733E6" w:rsidRDefault="00D733E6">
      <w:pPr>
        <w:ind w:firstLineChars="100" w:firstLine="320"/>
        <w:rPr>
          <w:rFonts w:ascii="方正黑体_GBK" w:eastAsia="方正黑体_GBK"/>
          <w:sz w:val="32"/>
          <w:szCs w:val="32"/>
        </w:rPr>
      </w:pPr>
      <w:r w:rsidRPr="00D733E6">
        <w:rPr>
          <w:rFonts w:ascii="方正黑体_GBK" w:eastAsia="方正黑体_GBK" w:hint="eastAsia"/>
          <w:sz w:val="32"/>
          <w:szCs w:val="32"/>
        </w:rPr>
        <w:t>一、学生竞赛项目级别表说明</w:t>
      </w:r>
    </w:p>
    <w:p w:rsidR="00156962" w:rsidRPr="00D733E6" w:rsidRDefault="00D733E6">
      <w:pPr>
        <w:ind w:firstLineChars="200" w:firstLine="640"/>
        <w:rPr>
          <w:rFonts w:ascii="仿宋_GB2312" w:eastAsia="仿宋_GB2312" w:hAnsi="仿宋"/>
          <w:sz w:val="32"/>
          <w:szCs w:val="32"/>
        </w:rPr>
      </w:pPr>
      <w:r w:rsidRPr="00D733E6">
        <w:rPr>
          <w:rFonts w:ascii="仿宋_GB2312" w:eastAsia="仿宋_GB2312" w:hAnsi="仿宋" w:hint="eastAsia"/>
          <w:sz w:val="32"/>
          <w:szCs w:val="32"/>
        </w:rPr>
        <w:t>汕头职业技术学院学生竞赛项目分为三个级别：</w:t>
      </w:r>
    </w:p>
    <w:p w:rsidR="00156962" w:rsidRPr="00D733E6" w:rsidRDefault="00D733E6">
      <w:pPr>
        <w:ind w:firstLineChars="200" w:firstLine="640"/>
        <w:rPr>
          <w:rFonts w:ascii="仿宋_GB2312" w:eastAsia="仿宋_GB2312" w:hAnsi="仿宋"/>
          <w:sz w:val="32"/>
          <w:szCs w:val="32"/>
        </w:rPr>
      </w:pPr>
      <w:r w:rsidRPr="00D733E6">
        <w:rPr>
          <w:rFonts w:ascii="仿宋_GB2312" w:eastAsia="仿宋_GB2312" w:hAnsi="仿宋" w:hint="eastAsia"/>
          <w:sz w:val="32"/>
          <w:szCs w:val="32"/>
        </w:rPr>
        <w:t>Ⅰ级为重点竞赛：在全国或全省具有广泛影响的科技创新竞赛及技能竞赛，具有很强的学术权威性和业内认可度，在国内外具有很大影响力；对学生培养确实有很大作用、对学校发展确实有较大影响的学生竞赛可以认定为Ⅰ级竞赛。Ⅰ级竞赛由高到低划分为甲、乙两个等次。</w:t>
      </w:r>
    </w:p>
    <w:p w:rsidR="00156962" w:rsidRPr="00D733E6" w:rsidRDefault="00D733E6">
      <w:pPr>
        <w:ind w:firstLineChars="200" w:firstLine="640"/>
        <w:rPr>
          <w:rFonts w:ascii="仿宋_GB2312" w:eastAsia="仿宋_GB2312" w:hAnsi="仿宋"/>
          <w:sz w:val="32"/>
          <w:szCs w:val="32"/>
        </w:rPr>
      </w:pPr>
      <w:r w:rsidRPr="00D733E6">
        <w:rPr>
          <w:rFonts w:ascii="仿宋_GB2312" w:eastAsia="仿宋_GB2312" w:hAnsi="仿宋" w:hint="eastAsia"/>
          <w:sz w:val="32"/>
          <w:szCs w:val="32"/>
        </w:rPr>
        <w:t>Ⅰ级甲等竞赛特指中国“互联网</w:t>
      </w:r>
      <w:r w:rsidRPr="00D733E6">
        <w:rPr>
          <w:rFonts w:ascii="仿宋_GB2312" w:eastAsia="仿宋_GB2312" w:hAnsi="仿宋" w:hint="eastAsia"/>
          <w:sz w:val="32"/>
          <w:szCs w:val="32"/>
        </w:rPr>
        <w:t>+</w:t>
      </w:r>
      <w:r w:rsidRPr="00D733E6">
        <w:rPr>
          <w:rFonts w:ascii="仿宋_GB2312" w:eastAsia="仿宋_GB2312" w:hAnsi="仿宋" w:hint="eastAsia"/>
          <w:sz w:val="32"/>
          <w:szCs w:val="32"/>
        </w:rPr>
        <w:t>”大学生创新创业大赛、全国职业院校技能大赛、“挑战杯”</w:t>
      </w:r>
      <w:r w:rsidRPr="00D733E6">
        <w:rPr>
          <w:rFonts w:ascii="仿宋_GB2312" w:eastAsia="仿宋_GB2312" w:hAnsi="仿宋" w:hint="eastAsia"/>
          <w:sz w:val="32"/>
          <w:szCs w:val="32"/>
        </w:rPr>
        <w:t xml:space="preserve"> </w:t>
      </w:r>
      <w:r w:rsidRPr="00D733E6">
        <w:rPr>
          <w:rFonts w:ascii="仿宋_GB2312" w:eastAsia="仿宋_GB2312" w:hAnsi="仿宋" w:hint="eastAsia"/>
          <w:sz w:val="32"/>
          <w:szCs w:val="32"/>
        </w:rPr>
        <w:t>系列竞赛、世界技能竞赛。</w:t>
      </w:r>
    </w:p>
    <w:p w:rsidR="00156962" w:rsidRPr="00D733E6" w:rsidRDefault="00D733E6">
      <w:pPr>
        <w:ind w:firstLineChars="200" w:firstLine="640"/>
        <w:rPr>
          <w:rFonts w:ascii="仿宋_GB2312" w:eastAsia="仿宋_GB2312" w:hAnsi="仿宋"/>
          <w:sz w:val="32"/>
          <w:szCs w:val="32"/>
        </w:rPr>
      </w:pPr>
      <w:r w:rsidRPr="00D733E6">
        <w:rPr>
          <w:rFonts w:ascii="仿宋_GB2312" w:eastAsia="仿宋_GB2312" w:hAnsi="仿宋" w:hint="eastAsia"/>
          <w:sz w:val="32"/>
          <w:szCs w:val="32"/>
        </w:rPr>
        <w:t>Ⅰ级乙等竞赛：由国家部委司局</w:t>
      </w:r>
      <w:proofErr w:type="gramStart"/>
      <w:r w:rsidRPr="00D733E6">
        <w:rPr>
          <w:rFonts w:ascii="仿宋_GB2312" w:eastAsia="仿宋_GB2312" w:hAnsi="仿宋" w:hint="eastAsia"/>
          <w:sz w:val="32"/>
          <w:szCs w:val="32"/>
        </w:rPr>
        <w:t>发文主办</w:t>
      </w:r>
      <w:proofErr w:type="gramEnd"/>
      <w:r w:rsidRPr="00D733E6">
        <w:rPr>
          <w:rFonts w:ascii="仿宋_GB2312" w:eastAsia="仿宋_GB2312" w:hAnsi="仿宋" w:hint="eastAsia"/>
          <w:sz w:val="32"/>
          <w:szCs w:val="32"/>
        </w:rPr>
        <w:t>或资助，或具有明显行业特色且业内认可度极高、对学生培养确实有很大作用的竞赛。</w:t>
      </w:r>
    </w:p>
    <w:p w:rsidR="00156962" w:rsidRPr="00D733E6" w:rsidRDefault="00D733E6">
      <w:pPr>
        <w:ind w:firstLineChars="200" w:firstLine="640"/>
        <w:rPr>
          <w:rFonts w:ascii="仿宋_GB2312" w:eastAsia="仿宋_GB2312" w:hAnsi="仿宋"/>
          <w:sz w:val="32"/>
          <w:szCs w:val="32"/>
        </w:rPr>
      </w:pPr>
      <w:r w:rsidRPr="00D733E6">
        <w:rPr>
          <w:rFonts w:ascii="仿宋_GB2312" w:eastAsia="仿宋_GB2312" w:hAnsi="仿宋" w:hint="eastAsia"/>
          <w:sz w:val="32"/>
          <w:szCs w:val="32"/>
        </w:rPr>
        <w:t>Ⅱ级竞赛：主办单位为国家部委直属单位、教育部高等学校教学指导委员会（含其他部级专业指导委员会）、全国性的专业团体组织、省厅级部门以及直属央企；赛事范围覆盖全省或多个省份，有多所高校组成代表队参与，有省内或区域内选拔过程；在省内有较大影响力、具有较强的学术权威性和业内认可度的竞赛可认定为Ⅱ级竞赛。</w:t>
      </w:r>
    </w:p>
    <w:p w:rsidR="00156962" w:rsidRPr="00D733E6" w:rsidRDefault="00D733E6">
      <w:pPr>
        <w:ind w:firstLineChars="200" w:firstLine="640"/>
        <w:rPr>
          <w:rFonts w:ascii="仿宋_GB2312" w:eastAsia="仿宋_GB2312" w:hAnsi="仿宋"/>
          <w:sz w:val="32"/>
          <w:szCs w:val="32"/>
        </w:rPr>
      </w:pPr>
      <w:r w:rsidRPr="00D733E6">
        <w:rPr>
          <w:rFonts w:ascii="仿宋_GB2312" w:eastAsia="仿宋_GB2312" w:hAnsi="仿宋"/>
          <w:sz w:val="32"/>
          <w:szCs w:val="32"/>
        </w:rPr>
        <w:t>具体参照下表</w:t>
      </w:r>
      <w:r w:rsidRPr="00D733E6">
        <w:rPr>
          <w:rFonts w:ascii="仿宋_GB2312" w:eastAsia="仿宋_GB2312" w:hAnsi="仿宋" w:hint="eastAsia"/>
          <w:sz w:val="32"/>
          <w:szCs w:val="32"/>
        </w:rPr>
        <w:t>：</w:t>
      </w:r>
    </w:p>
    <w:tbl>
      <w:tblPr>
        <w:tblW w:w="10115" w:type="dxa"/>
        <w:tblInd w:w="-893" w:type="dxa"/>
        <w:tblLayout w:type="fixed"/>
        <w:tblCellMar>
          <w:left w:w="0" w:type="dxa"/>
          <w:right w:w="0" w:type="dxa"/>
        </w:tblCellMar>
        <w:tblLook w:val="04A0" w:firstRow="1" w:lastRow="0" w:firstColumn="1" w:lastColumn="0" w:noHBand="0" w:noVBand="1"/>
      </w:tblPr>
      <w:tblGrid>
        <w:gridCol w:w="5706"/>
        <w:gridCol w:w="2991"/>
        <w:gridCol w:w="1418"/>
      </w:tblGrid>
      <w:tr w:rsidR="00D733E6" w:rsidRPr="00D733E6">
        <w:trPr>
          <w:trHeight w:val="450"/>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center"/>
              <w:textAlignment w:val="center"/>
              <w:rPr>
                <w:rFonts w:ascii="方正黑体_GBK" w:eastAsia="方正黑体_GBK" w:hAnsi="宋体" w:cs="宋体"/>
                <w:sz w:val="18"/>
                <w:szCs w:val="18"/>
              </w:rPr>
            </w:pPr>
            <w:r w:rsidRPr="00D733E6">
              <w:rPr>
                <w:rFonts w:ascii="方正黑体_GBK" w:eastAsia="方正黑体_GBK" w:hAnsi="宋体" w:cs="宋体" w:hint="eastAsia"/>
                <w:kern w:val="0"/>
                <w:sz w:val="18"/>
                <w:szCs w:val="18"/>
                <w:lang w:bidi="ar"/>
              </w:rPr>
              <w:lastRenderedPageBreak/>
              <w:t>主办单位</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center"/>
              <w:textAlignment w:val="center"/>
              <w:rPr>
                <w:rFonts w:ascii="方正黑体_GBK" w:eastAsia="方正黑体_GBK" w:hAnsi="宋体" w:cs="宋体"/>
                <w:sz w:val="18"/>
                <w:szCs w:val="18"/>
              </w:rPr>
            </w:pPr>
            <w:r w:rsidRPr="00D733E6">
              <w:rPr>
                <w:rFonts w:ascii="方正黑体_GBK" w:eastAsia="方正黑体_GBK" w:hAnsi="宋体" w:cs="宋体" w:hint="eastAsia"/>
                <w:kern w:val="0"/>
                <w:sz w:val="18"/>
                <w:szCs w:val="18"/>
                <w:lang w:bidi="ar"/>
              </w:rPr>
              <w:t>竞赛名称</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center"/>
              <w:textAlignment w:val="center"/>
              <w:rPr>
                <w:rFonts w:ascii="方正黑体_GBK" w:eastAsia="方正黑体_GBK" w:hAnsi="宋体" w:cs="宋体"/>
                <w:sz w:val="18"/>
                <w:szCs w:val="18"/>
              </w:rPr>
            </w:pPr>
            <w:r w:rsidRPr="00D733E6">
              <w:rPr>
                <w:rFonts w:ascii="方正黑体_GBK" w:eastAsia="方正黑体_GBK" w:hAnsi="宋体" w:cs="宋体" w:hint="eastAsia"/>
                <w:kern w:val="0"/>
                <w:sz w:val="18"/>
                <w:szCs w:val="18"/>
                <w:lang w:bidi="ar"/>
              </w:rPr>
              <w:t>竞赛奖励级别</w:t>
            </w:r>
          </w:p>
        </w:tc>
      </w:tr>
      <w:tr w:rsidR="00D733E6" w:rsidRPr="00D733E6">
        <w:trPr>
          <w:trHeight w:val="930"/>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教育部、中央网络安全和信息化领导小组办公室、国家</w:t>
            </w:r>
            <w:r w:rsidRPr="00D733E6">
              <w:rPr>
                <w:rFonts w:ascii="宋体" w:hAnsi="宋体" w:cs="宋体" w:hint="eastAsia"/>
                <w:kern w:val="0"/>
                <w:sz w:val="18"/>
                <w:szCs w:val="18"/>
                <w:lang w:bidi="ar"/>
              </w:rPr>
              <w:t>发展和改革委员会、工业和信息化部、人力资源和社会保障部、国家知识产权局、中国科学院、中国工程院、承办高校所在地省政府</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中国“互联网</w:t>
            </w:r>
            <w:r w:rsidRPr="00D733E6">
              <w:rPr>
                <w:rFonts w:ascii="宋体" w:hAnsi="宋体" w:cs="宋体" w:hint="eastAsia"/>
                <w:kern w:val="0"/>
                <w:sz w:val="18"/>
                <w:szCs w:val="18"/>
                <w:lang w:bidi="ar"/>
              </w:rPr>
              <w:t>+</w:t>
            </w:r>
            <w:r w:rsidRPr="00D733E6">
              <w:rPr>
                <w:rFonts w:ascii="宋体" w:hAnsi="宋体" w:cs="宋体" w:hint="eastAsia"/>
                <w:kern w:val="0"/>
                <w:sz w:val="18"/>
                <w:szCs w:val="18"/>
                <w:lang w:bidi="ar"/>
              </w:rPr>
              <w:t>”大学生创新创业大赛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Ⅰ级甲等</w:t>
            </w:r>
          </w:p>
        </w:tc>
      </w:tr>
      <w:tr w:rsidR="00D733E6" w:rsidRPr="00D733E6">
        <w:trPr>
          <w:trHeight w:val="285"/>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教育部等</w:t>
            </w:r>
            <w:r w:rsidRPr="00D733E6">
              <w:rPr>
                <w:rFonts w:ascii="宋体" w:hAnsi="宋体" w:cs="宋体" w:hint="eastAsia"/>
                <w:kern w:val="0"/>
                <w:sz w:val="18"/>
                <w:szCs w:val="18"/>
                <w:lang w:bidi="ar"/>
              </w:rPr>
              <w:t>35</w:t>
            </w:r>
            <w:r w:rsidRPr="00D733E6">
              <w:rPr>
                <w:rFonts w:ascii="宋体" w:hAnsi="宋体" w:cs="宋体" w:hint="eastAsia"/>
                <w:kern w:val="0"/>
                <w:sz w:val="18"/>
                <w:szCs w:val="18"/>
                <w:lang w:bidi="ar"/>
              </w:rPr>
              <w:t>个部委</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全国职业院校技能大赛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Ⅰ级甲等</w:t>
            </w:r>
          </w:p>
        </w:tc>
      </w:tr>
      <w:tr w:rsidR="00D733E6" w:rsidRPr="00D733E6">
        <w:trPr>
          <w:trHeight w:val="570"/>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共青团中央、中国科协、教育部、全国学联、承办学校所在地省政府</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“挑战杯”系列竞赛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Ⅰ级甲等</w:t>
            </w:r>
          </w:p>
        </w:tc>
      </w:tr>
      <w:tr w:rsidR="00D733E6" w:rsidRPr="00D733E6">
        <w:trPr>
          <w:trHeight w:val="555"/>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sz w:val="18"/>
                <w:szCs w:val="18"/>
              </w:rPr>
              <w:t>世界技能组织</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sz w:val="18"/>
                <w:szCs w:val="18"/>
              </w:rPr>
              <w:t>世界技能竞赛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Ⅰ级甲等</w:t>
            </w:r>
          </w:p>
        </w:tc>
      </w:tr>
      <w:tr w:rsidR="00D733E6" w:rsidRPr="00D733E6">
        <w:trPr>
          <w:trHeight w:val="285"/>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教育部高等教育司、中国工业与应用数学学会</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全国大学生数学建模竞赛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285"/>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教育部高等教育司、工信部人教司</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全国大学生电子设计竞赛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555"/>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全国大学生机械创新设计大赛组委会、教育部高等学校机械基础课程教学指导委员会</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全国大学生机械创新设计大赛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510"/>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教育部高等教育司</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全国大学生节能减排社会实践与科技竞赛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975"/>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外语教学与研究出版社、北京外研在线教育科技有限公司和教育部高等学校大学外语教学指导委员会、教育部高等学校英语专业教学指导委员会、中国外语教育研究中心联合主办</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“外</w:t>
            </w:r>
            <w:proofErr w:type="gramStart"/>
            <w:r w:rsidRPr="00D733E6">
              <w:rPr>
                <w:rFonts w:ascii="宋体" w:hAnsi="宋体" w:cs="宋体" w:hint="eastAsia"/>
                <w:kern w:val="0"/>
                <w:sz w:val="18"/>
                <w:szCs w:val="18"/>
                <w:lang w:bidi="ar"/>
              </w:rPr>
              <w:t>研</w:t>
            </w:r>
            <w:proofErr w:type="gramEnd"/>
            <w:r w:rsidRPr="00D733E6">
              <w:rPr>
                <w:rFonts w:ascii="宋体" w:hAnsi="宋体" w:cs="宋体" w:hint="eastAsia"/>
                <w:kern w:val="0"/>
                <w:sz w:val="18"/>
                <w:szCs w:val="18"/>
                <w:lang w:bidi="ar"/>
              </w:rPr>
              <w:t>社杯”全国英语演讲大赛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570"/>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教育部高等学校新闻传播学类专业教学指导委员会、中国高等教育学会广告教育专业委员会</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全国大学生广告艺术大赛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495"/>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教育部高等学校计算机类专业教学指导委员会等</w:t>
            </w:r>
            <w:r w:rsidRPr="00D733E6">
              <w:rPr>
                <w:rFonts w:ascii="宋体" w:hAnsi="宋体" w:cs="宋体" w:hint="eastAsia"/>
                <w:kern w:val="0"/>
                <w:sz w:val="18"/>
                <w:szCs w:val="18"/>
                <w:lang w:bidi="ar"/>
              </w:rPr>
              <w:t>5</w:t>
            </w:r>
            <w:r w:rsidRPr="00D733E6">
              <w:rPr>
                <w:rFonts w:ascii="宋体" w:hAnsi="宋体" w:cs="宋体" w:hint="eastAsia"/>
                <w:kern w:val="0"/>
                <w:sz w:val="18"/>
                <w:szCs w:val="18"/>
                <w:lang w:bidi="ar"/>
              </w:rPr>
              <w:t>部门联合主办</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中国大学生计算机设计大赛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570"/>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教育部</w:t>
            </w:r>
            <w:proofErr w:type="gramStart"/>
            <w:r w:rsidRPr="00D733E6">
              <w:rPr>
                <w:rFonts w:ascii="宋体" w:hAnsi="宋体" w:cs="宋体" w:hint="eastAsia"/>
                <w:kern w:val="0"/>
                <w:sz w:val="18"/>
                <w:szCs w:val="18"/>
                <w:lang w:bidi="ar"/>
              </w:rPr>
              <w:t>高校电商类</w:t>
            </w:r>
            <w:proofErr w:type="gramEnd"/>
            <w:r w:rsidRPr="00D733E6">
              <w:rPr>
                <w:rFonts w:ascii="宋体" w:hAnsi="宋体" w:cs="宋体" w:hint="eastAsia"/>
                <w:kern w:val="0"/>
                <w:sz w:val="18"/>
                <w:szCs w:val="18"/>
                <w:lang w:bidi="ar"/>
              </w:rPr>
              <w:t>专业教学指导委员会</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全国大学生电子商务“创新、创意及创业”挑战赛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525"/>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广东省教育厅</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广东省大学生生物化学实验技能大赛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630"/>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教育部高等学校统计学类专业教学指导委员会与中国商业统计学会联合主办</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全国大学生市场调查与分析大赛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960"/>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教育部高等学校计算机类专业教学指导委员会、教育部高等学校软件工程专业教学指导委员会、教育部高等学校大学计算机课程教学指导委会和全国高等学校计算机教育研究会联合主办</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中国高校计算机大赛</w:t>
            </w:r>
            <w:r w:rsidRPr="00D733E6">
              <w:rPr>
                <w:rFonts w:ascii="宋体" w:hAnsi="宋体" w:cs="宋体" w:hint="eastAsia"/>
                <w:kern w:val="0"/>
                <w:sz w:val="18"/>
                <w:szCs w:val="18"/>
                <w:lang w:bidi="ar"/>
              </w:rPr>
              <w:t>-</w:t>
            </w:r>
            <w:r w:rsidRPr="00D733E6">
              <w:rPr>
                <w:rFonts w:ascii="宋体" w:hAnsi="宋体" w:cs="宋体" w:hint="eastAsia"/>
                <w:kern w:val="0"/>
                <w:sz w:val="18"/>
                <w:szCs w:val="18"/>
                <w:lang w:bidi="ar"/>
              </w:rPr>
              <w:t>大数据挑战赛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285"/>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共青团中央、全国学联联合主办</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全国大学生机器人大赛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570"/>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教育部高等学校物流类专业教学指导委员会和中国物流与采购联合会共同举办</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全国大学生物流设计大赛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285"/>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共青团中央、全国学联联合主办</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sz w:val="18"/>
                <w:szCs w:val="18"/>
              </w:rPr>
              <w:t>三下乡系列比赛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570"/>
        </w:trPr>
        <w:tc>
          <w:tcPr>
            <w:tcW w:w="570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教育部高等学校工业设计专业教学指导委员会等部门联合主办</w:t>
            </w:r>
          </w:p>
        </w:tc>
        <w:tc>
          <w:tcPr>
            <w:tcW w:w="29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全国大学生工业设计大赛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sz w:val="18"/>
                <w:szCs w:val="18"/>
              </w:rPr>
            </w:pPr>
            <w:r w:rsidRPr="00D733E6">
              <w:rPr>
                <w:rFonts w:ascii="宋体" w:hAnsi="宋体" w:cs="宋体" w:hint="eastAsia"/>
                <w:kern w:val="0"/>
                <w:sz w:val="18"/>
                <w:szCs w:val="18"/>
                <w:lang w:bidi="ar"/>
              </w:rPr>
              <w:t>Ⅰ级乙等</w:t>
            </w:r>
          </w:p>
        </w:tc>
      </w:tr>
      <w:tr w:rsidR="00D733E6" w:rsidRPr="00D733E6">
        <w:trPr>
          <w:trHeight w:val="570"/>
        </w:trPr>
        <w:tc>
          <w:tcPr>
            <w:tcW w:w="869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textAlignment w:val="center"/>
              <w:rPr>
                <w:rFonts w:ascii="宋体" w:hAnsi="宋体" w:cs="宋体"/>
                <w:kern w:val="0"/>
                <w:sz w:val="18"/>
                <w:szCs w:val="18"/>
                <w:lang w:bidi="ar"/>
              </w:rPr>
            </w:pPr>
            <w:r w:rsidRPr="00D733E6">
              <w:rPr>
                <w:rFonts w:ascii="宋体" w:hAnsi="宋体" w:cs="宋体" w:hint="eastAsia"/>
                <w:kern w:val="0"/>
                <w:sz w:val="18"/>
                <w:szCs w:val="18"/>
                <w:lang w:bidi="ar"/>
              </w:rPr>
              <w:t>国家</w:t>
            </w:r>
            <w:r w:rsidRPr="00D733E6">
              <w:rPr>
                <w:rFonts w:ascii="宋体" w:hAnsi="宋体" w:cs="宋体" w:hint="eastAsia"/>
                <w:kern w:val="0"/>
                <w:sz w:val="18"/>
                <w:szCs w:val="18"/>
                <w:lang w:bidi="ar"/>
              </w:rPr>
              <w:t>各部委司局</w:t>
            </w:r>
            <w:r w:rsidRPr="00D733E6">
              <w:rPr>
                <w:rFonts w:ascii="宋体" w:hAnsi="宋体" w:cs="宋体" w:hint="eastAsia"/>
                <w:kern w:val="0"/>
                <w:sz w:val="18"/>
                <w:szCs w:val="18"/>
                <w:lang w:bidi="ar"/>
              </w:rPr>
              <w:t>和省</w:t>
            </w:r>
            <w:r w:rsidRPr="00D733E6">
              <w:rPr>
                <w:rFonts w:eastAsia="方正仿宋简体"/>
                <w:bCs/>
                <w:szCs w:val="32"/>
              </w:rPr>
              <w:t>各厅（局）</w:t>
            </w:r>
            <w:r w:rsidRPr="00D733E6">
              <w:rPr>
                <w:rFonts w:ascii="宋体" w:hAnsi="宋体" w:cs="宋体" w:hint="eastAsia"/>
                <w:kern w:val="0"/>
                <w:sz w:val="18"/>
                <w:szCs w:val="18"/>
                <w:lang w:bidi="ar"/>
              </w:rPr>
              <w:t>、共青团团中央、全国学联等主办的其他专业竞赛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kern w:val="0"/>
                <w:sz w:val="18"/>
                <w:szCs w:val="18"/>
                <w:lang w:bidi="ar"/>
              </w:rPr>
            </w:pPr>
            <w:r w:rsidRPr="00D733E6">
              <w:rPr>
                <w:rFonts w:ascii="宋体" w:hAnsi="宋体" w:cs="宋体" w:hint="eastAsia"/>
                <w:kern w:val="0"/>
                <w:sz w:val="18"/>
                <w:szCs w:val="18"/>
                <w:lang w:bidi="ar"/>
              </w:rPr>
              <w:t>Ⅰ级乙等</w:t>
            </w:r>
          </w:p>
        </w:tc>
      </w:tr>
      <w:tr w:rsidR="00D733E6" w:rsidRPr="00D733E6">
        <w:trPr>
          <w:trHeight w:val="570"/>
        </w:trPr>
        <w:tc>
          <w:tcPr>
            <w:tcW w:w="869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kern w:val="0"/>
                <w:sz w:val="18"/>
                <w:szCs w:val="18"/>
                <w:lang w:bidi="ar"/>
              </w:rPr>
            </w:pPr>
            <w:r w:rsidRPr="00D733E6">
              <w:rPr>
                <w:rFonts w:ascii="宋体" w:hAnsi="宋体" w:cs="宋体" w:hint="eastAsia"/>
                <w:kern w:val="0"/>
                <w:sz w:val="18"/>
                <w:szCs w:val="18"/>
                <w:lang w:bidi="ar"/>
              </w:rPr>
              <w:t>国家部委直属单位、教育部高等学校教学指导委员会（含其他部级专业指导委员会）、全国性专业团体组织、省厅级部门以及直属央企；赛事范围覆盖全省或多个省份，有多所高校组成代表队参与，有省内或区域内选拔过程；在省内有较大影响力、具有较强的学术权威性和业内认可度的竞赛</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56962" w:rsidRPr="00D733E6" w:rsidRDefault="00D733E6">
            <w:pPr>
              <w:widowControl/>
              <w:jc w:val="left"/>
              <w:textAlignment w:val="center"/>
              <w:rPr>
                <w:rFonts w:ascii="宋体" w:hAnsi="宋体" w:cs="宋体"/>
                <w:kern w:val="0"/>
                <w:sz w:val="18"/>
                <w:szCs w:val="18"/>
                <w:lang w:bidi="ar"/>
              </w:rPr>
            </w:pPr>
            <w:r w:rsidRPr="00D733E6">
              <w:rPr>
                <w:rFonts w:hint="eastAsia"/>
              </w:rPr>
              <w:t>Ⅱ级竞赛</w:t>
            </w:r>
          </w:p>
        </w:tc>
      </w:tr>
    </w:tbl>
    <w:p w:rsidR="00156962" w:rsidRPr="00D733E6" w:rsidRDefault="00D733E6">
      <w:pPr>
        <w:widowControl/>
        <w:jc w:val="left"/>
        <w:rPr>
          <w:rFonts w:ascii="华文楷体" w:eastAsia="华文楷体" w:hAnsi="华文楷体"/>
          <w:sz w:val="32"/>
          <w:szCs w:val="32"/>
        </w:rPr>
      </w:pPr>
      <w:r w:rsidRPr="00D733E6">
        <w:rPr>
          <w:rFonts w:ascii="华文楷体" w:eastAsia="华文楷体" w:hAnsi="华文楷体"/>
          <w:b/>
          <w:szCs w:val="32"/>
        </w:rPr>
        <w:br w:type="page"/>
      </w:r>
    </w:p>
    <w:p w:rsidR="00156962" w:rsidRPr="00D733E6" w:rsidRDefault="00D733E6">
      <w:pPr>
        <w:pStyle w:val="3"/>
        <w:widowControl w:val="0"/>
        <w:spacing w:line="570" w:lineRule="exact"/>
        <w:ind w:firstLine="640"/>
        <w:jc w:val="both"/>
        <w:rPr>
          <w:rFonts w:ascii="方正黑体_GBK" w:eastAsia="方正黑体_GBK" w:hAnsiTheme="minorHAnsi"/>
          <w:b w:val="0"/>
          <w:szCs w:val="32"/>
        </w:rPr>
      </w:pPr>
      <w:r w:rsidRPr="00D733E6">
        <w:rPr>
          <w:rFonts w:ascii="方正黑体_GBK" w:eastAsia="方正黑体_GBK" w:hAnsiTheme="minorHAnsi" w:hint="eastAsia"/>
          <w:b w:val="0"/>
          <w:szCs w:val="32"/>
        </w:rPr>
        <w:lastRenderedPageBreak/>
        <w:t>二、论文、著作、教材业绩计算标准</w:t>
      </w:r>
    </w:p>
    <w:p w:rsidR="00156962" w:rsidRPr="00D733E6" w:rsidRDefault="00D733E6">
      <w:pPr>
        <w:pStyle w:val="a4"/>
        <w:widowControl w:val="0"/>
        <w:adjustRightInd w:val="0"/>
        <w:snapToGrid w:val="0"/>
        <w:spacing w:line="570" w:lineRule="exact"/>
        <w:jc w:val="both"/>
        <w:rPr>
          <w:rFonts w:ascii="仿宋_GB2312" w:eastAsia="仿宋_GB2312"/>
          <w:bCs/>
          <w:szCs w:val="32"/>
        </w:rPr>
      </w:pPr>
      <w:r w:rsidRPr="00D733E6">
        <w:rPr>
          <w:rFonts w:ascii="仿宋_GB2312" w:eastAsia="仿宋_GB2312" w:hint="eastAsia"/>
          <w:bCs/>
          <w:szCs w:val="32"/>
        </w:rPr>
        <w:t>（一）公开发行（发表）：指已经出版发行，并有</w:t>
      </w:r>
      <w:r w:rsidRPr="00D733E6">
        <w:rPr>
          <w:rFonts w:ascii="仿宋_GB2312" w:eastAsia="仿宋_GB2312"/>
          <w:bCs/>
          <w:szCs w:val="32"/>
        </w:rPr>
        <w:t>“</w:t>
      </w:r>
      <w:r w:rsidRPr="00D733E6">
        <w:rPr>
          <w:rFonts w:ascii="仿宋_GB2312" w:eastAsia="仿宋_GB2312"/>
          <w:bCs/>
          <w:szCs w:val="32"/>
        </w:rPr>
        <w:t>CN</w:t>
      </w:r>
      <w:r w:rsidRPr="00D733E6">
        <w:rPr>
          <w:rFonts w:ascii="仿宋_GB2312" w:eastAsia="仿宋_GB2312"/>
          <w:bCs/>
          <w:szCs w:val="32"/>
        </w:rPr>
        <w:t>”</w:t>
      </w:r>
      <w:r w:rsidRPr="00D733E6">
        <w:rPr>
          <w:rFonts w:ascii="仿宋_GB2312" w:eastAsia="仿宋_GB2312" w:hint="eastAsia"/>
          <w:bCs/>
          <w:szCs w:val="32"/>
        </w:rPr>
        <w:t>、</w:t>
      </w:r>
      <w:r w:rsidRPr="00D733E6">
        <w:rPr>
          <w:rFonts w:ascii="仿宋_GB2312" w:eastAsia="仿宋_GB2312"/>
          <w:bCs/>
          <w:szCs w:val="32"/>
        </w:rPr>
        <w:t>“</w:t>
      </w:r>
      <w:r w:rsidRPr="00D733E6">
        <w:rPr>
          <w:rFonts w:ascii="仿宋_GB2312" w:eastAsia="仿宋_GB2312"/>
          <w:bCs/>
          <w:szCs w:val="32"/>
        </w:rPr>
        <w:t>ISSN</w:t>
      </w:r>
      <w:r w:rsidRPr="00D733E6">
        <w:rPr>
          <w:rFonts w:ascii="仿宋_GB2312" w:eastAsia="仿宋_GB2312"/>
          <w:bCs/>
          <w:szCs w:val="32"/>
        </w:rPr>
        <w:t>”</w:t>
      </w:r>
      <w:r w:rsidRPr="00D733E6">
        <w:rPr>
          <w:rFonts w:ascii="仿宋_GB2312" w:eastAsia="仿宋_GB2312" w:hint="eastAsia"/>
          <w:bCs/>
          <w:szCs w:val="32"/>
        </w:rPr>
        <w:t>刊号或</w:t>
      </w:r>
      <w:r w:rsidRPr="00D733E6">
        <w:rPr>
          <w:rFonts w:ascii="仿宋_GB2312" w:eastAsia="仿宋_GB2312"/>
          <w:bCs/>
          <w:szCs w:val="32"/>
        </w:rPr>
        <w:t>“</w:t>
      </w:r>
      <w:r w:rsidRPr="00D733E6">
        <w:rPr>
          <w:rFonts w:ascii="仿宋_GB2312" w:eastAsia="仿宋_GB2312"/>
          <w:bCs/>
          <w:szCs w:val="32"/>
        </w:rPr>
        <w:t>ISBN</w:t>
      </w:r>
      <w:r w:rsidRPr="00D733E6">
        <w:rPr>
          <w:rFonts w:ascii="仿宋_GB2312" w:eastAsia="仿宋_GB2312"/>
          <w:bCs/>
          <w:szCs w:val="32"/>
        </w:rPr>
        <w:t>”</w:t>
      </w:r>
      <w:r w:rsidRPr="00D733E6">
        <w:rPr>
          <w:rFonts w:ascii="仿宋_GB2312" w:eastAsia="仿宋_GB2312" w:hint="eastAsia"/>
          <w:bCs/>
          <w:szCs w:val="32"/>
        </w:rPr>
        <w:t>书号的。</w:t>
      </w:r>
    </w:p>
    <w:p w:rsidR="00156962" w:rsidRPr="00D733E6" w:rsidRDefault="00D733E6">
      <w:pPr>
        <w:pStyle w:val="a4"/>
        <w:widowControl w:val="0"/>
        <w:adjustRightInd w:val="0"/>
        <w:snapToGrid w:val="0"/>
        <w:spacing w:line="570" w:lineRule="exact"/>
        <w:jc w:val="both"/>
        <w:rPr>
          <w:rFonts w:ascii="仿宋_GB2312" w:eastAsia="仿宋_GB2312"/>
          <w:bCs/>
          <w:szCs w:val="32"/>
        </w:rPr>
      </w:pPr>
      <w:r w:rsidRPr="00D733E6">
        <w:rPr>
          <w:rFonts w:ascii="仿宋_GB2312" w:eastAsia="仿宋_GB2312" w:hint="eastAsia"/>
          <w:bCs/>
          <w:szCs w:val="32"/>
        </w:rPr>
        <w:t>论文、著作等的清样、出版证明等均不具有有效性。</w:t>
      </w:r>
    </w:p>
    <w:p w:rsidR="00156962" w:rsidRPr="00D733E6" w:rsidRDefault="00D733E6">
      <w:pPr>
        <w:pStyle w:val="a4"/>
        <w:widowControl w:val="0"/>
        <w:numPr>
          <w:ilvl w:val="0"/>
          <w:numId w:val="1"/>
        </w:numPr>
        <w:adjustRightInd w:val="0"/>
        <w:snapToGrid w:val="0"/>
        <w:spacing w:line="570" w:lineRule="exact"/>
        <w:jc w:val="both"/>
        <w:rPr>
          <w:rFonts w:ascii="仿宋_GB2312" w:eastAsia="仿宋_GB2312"/>
          <w:bCs/>
          <w:szCs w:val="32"/>
        </w:rPr>
      </w:pPr>
      <w:r w:rsidRPr="00D733E6">
        <w:rPr>
          <w:rFonts w:ascii="仿宋_GB2312" w:eastAsia="仿宋_GB2312" w:hint="eastAsia"/>
          <w:bCs/>
          <w:szCs w:val="32"/>
        </w:rPr>
        <w:t>学术论文</w:t>
      </w:r>
      <w:r w:rsidRPr="00D733E6">
        <w:rPr>
          <w:rFonts w:ascii="仿宋_GB2312" w:eastAsia="仿宋_GB2312" w:hint="eastAsia"/>
          <w:bCs/>
          <w:szCs w:val="32"/>
        </w:rPr>
        <w:t>:</w:t>
      </w:r>
      <w:r w:rsidRPr="00D733E6">
        <w:rPr>
          <w:rFonts w:ascii="仿宋_GB2312" w:eastAsia="仿宋_GB2312" w:hint="eastAsia"/>
          <w:bCs/>
          <w:szCs w:val="32"/>
        </w:rPr>
        <w:t>发表在国家新闻出版广电总局公布的第一批、第二批认定学术期刊的学术论文，以及</w:t>
      </w:r>
      <w:r w:rsidRPr="00D733E6">
        <w:rPr>
          <w:rFonts w:ascii="仿宋_GB2312" w:eastAsia="仿宋_GB2312" w:hint="eastAsia"/>
          <w:bCs/>
          <w:szCs w:val="32"/>
        </w:rPr>
        <w:t>SCI</w:t>
      </w:r>
      <w:r w:rsidRPr="00D733E6">
        <w:rPr>
          <w:rFonts w:ascii="仿宋_GB2312" w:eastAsia="仿宋_GB2312" w:hint="eastAsia"/>
          <w:bCs/>
          <w:szCs w:val="32"/>
        </w:rPr>
        <w:t>、</w:t>
      </w:r>
      <w:r w:rsidRPr="00D733E6">
        <w:rPr>
          <w:rFonts w:ascii="仿宋_GB2312" w:eastAsia="仿宋_GB2312" w:hint="eastAsia"/>
          <w:bCs/>
          <w:szCs w:val="32"/>
        </w:rPr>
        <w:t>EI</w:t>
      </w:r>
      <w:r w:rsidRPr="00D733E6">
        <w:rPr>
          <w:rFonts w:ascii="仿宋_GB2312" w:eastAsia="仿宋_GB2312" w:hint="eastAsia"/>
          <w:bCs/>
          <w:szCs w:val="32"/>
        </w:rPr>
        <w:t>、</w:t>
      </w:r>
      <w:r w:rsidRPr="00D733E6">
        <w:rPr>
          <w:rFonts w:ascii="仿宋_GB2312" w:eastAsia="仿宋_GB2312" w:hint="eastAsia"/>
          <w:bCs/>
          <w:szCs w:val="32"/>
        </w:rPr>
        <w:t>SSCI</w:t>
      </w:r>
      <w:r w:rsidRPr="00D733E6">
        <w:rPr>
          <w:rFonts w:ascii="仿宋_GB2312" w:eastAsia="仿宋_GB2312" w:hint="eastAsia"/>
          <w:bCs/>
          <w:szCs w:val="32"/>
        </w:rPr>
        <w:t>、</w:t>
      </w:r>
      <w:r w:rsidRPr="00D733E6">
        <w:rPr>
          <w:rFonts w:ascii="仿宋_GB2312" w:eastAsia="仿宋_GB2312" w:hint="eastAsia"/>
          <w:bCs/>
          <w:szCs w:val="32"/>
        </w:rPr>
        <w:t>A&amp;HCI</w:t>
      </w:r>
      <w:r w:rsidRPr="00D733E6">
        <w:rPr>
          <w:rFonts w:ascii="仿宋_GB2312" w:eastAsia="仿宋_GB2312" w:hint="eastAsia"/>
          <w:bCs/>
          <w:szCs w:val="32"/>
        </w:rPr>
        <w:t>四大索引收录的学术论文；获教育厅组织的网络文化评选奖励的作品（本项仅适用于专职政治辅导员申报教学系列辅导员职称）。</w:t>
      </w:r>
    </w:p>
    <w:p w:rsidR="00156962" w:rsidRPr="00D733E6" w:rsidRDefault="00D733E6">
      <w:pPr>
        <w:pStyle w:val="a4"/>
        <w:widowControl w:val="0"/>
        <w:adjustRightInd w:val="0"/>
        <w:snapToGrid w:val="0"/>
        <w:spacing w:line="570" w:lineRule="exact"/>
        <w:jc w:val="both"/>
        <w:rPr>
          <w:rFonts w:ascii="仿宋_GB2312" w:eastAsia="仿宋_GB2312"/>
          <w:bCs/>
          <w:szCs w:val="32"/>
        </w:rPr>
      </w:pPr>
      <w:r w:rsidRPr="00D733E6">
        <w:rPr>
          <w:rFonts w:ascii="仿宋_GB2312" w:eastAsia="仿宋_GB2312" w:hint="eastAsia"/>
          <w:bCs/>
          <w:szCs w:val="32"/>
        </w:rPr>
        <w:t>高水平论文：发表在国内核心学术期刊（包括北京大学“中文核心期刊”、南京大学“中文社会科学引文索引（</w:t>
      </w:r>
      <w:r w:rsidRPr="00D733E6">
        <w:rPr>
          <w:rFonts w:ascii="仿宋_GB2312" w:eastAsia="仿宋_GB2312" w:hint="eastAsia"/>
          <w:bCs/>
          <w:szCs w:val="32"/>
        </w:rPr>
        <w:t>CSSCI</w:t>
      </w:r>
      <w:r w:rsidRPr="00D733E6">
        <w:rPr>
          <w:rFonts w:ascii="仿宋_GB2312" w:eastAsia="仿宋_GB2312" w:hint="eastAsia"/>
          <w:bCs/>
          <w:szCs w:val="32"/>
        </w:rPr>
        <w:t>）来源期刊”、中国科学院“中国科学引文数据库（</w:t>
      </w:r>
      <w:r w:rsidRPr="00D733E6">
        <w:rPr>
          <w:rFonts w:ascii="仿宋_GB2312" w:eastAsia="仿宋_GB2312" w:hint="eastAsia"/>
          <w:bCs/>
          <w:szCs w:val="32"/>
        </w:rPr>
        <w:t>CSCD</w:t>
      </w:r>
      <w:r w:rsidRPr="00D733E6">
        <w:rPr>
          <w:rFonts w:ascii="仿宋_GB2312" w:eastAsia="仿宋_GB2312" w:hint="eastAsia"/>
          <w:bCs/>
          <w:szCs w:val="32"/>
        </w:rPr>
        <w:t>）来源期刊”），人大复印资料全文转载和新华文摘</w:t>
      </w:r>
      <w:r w:rsidRPr="00D733E6">
        <w:rPr>
          <w:rFonts w:ascii="仿宋_GB2312" w:eastAsia="仿宋_GB2312" w:hint="eastAsia"/>
          <w:bCs/>
          <w:szCs w:val="32"/>
        </w:rPr>
        <w:t>部分转载论文，</w:t>
      </w:r>
      <w:r w:rsidRPr="00D733E6">
        <w:rPr>
          <w:rFonts w:ascii="仿宋_GB2312" w:eastAsia="仿宋_GB2312" w:hint="eastAsia"/>
          <w:bCs/>
          <w:szCs w:val="32"/>
        </w:rPr>
        <w:t>SCI</w:t>
      </w:r>
      <w:r w:rsidRPr="00D733E6">
        <w:rPr>
          <w:rFonts w:ascii="仿宋_GB2312" w:eastAsia="仿宋_GB2312" w:hint="eastAsia"/>
          <w:bCs/>
          <w:szCs w:val="32"/>
        </w:rPr>
        <w:t>、</w:t>
      </w:r>
      <w:r w:rsidRPr="00D733E6">
        <w:rPr>
          <w:rFonts w:ascii="仿宋_GB2312" w:eastAsia="仿宋_GB2312" w:hint="eastAsia"/>
          <w:bCs/>
          <w:szCs w:val="32"/>
        </w:rPr>
        <w:t>EI</w:t>
      </w:r>
      <w:r w:rsidRPr="00D733E6">
        <w:rPr>
          <w:rFonts w:ascii="仿宋_GB2312" w:eastAsia="仿宋_GB2312" w:hint="eastAsia"/>
          <w:bCs/>
          <w:szCs w:val="32"/>
        </w:rPr>
        <w:t>、</w:t>
      </w:r>
      <w:r w:rsidRPr="00D733E6">
        <w:rPr>
          <w:rFonts w:ascii="仿宋_GB2312" w:eastAsia="仿宋_GB2312" w:hint="eastAsia"/>
          <w:bCs/>
          <w:szCs w:val="32"/>
        </w:rPr>
        <w:t>SSCI</w:t>
      </w:r>
      <w:r w:rsidRPr="00D733E6">
        <w:rPr>
          <w:rFonts w:ascii="仿宋_GB2312" w:eastAsia="仿宋_GB2312" w:hint="eastAsia"/>
          <w:bCs/>
          <w:szCs w:val="32"/>
        </w:rPr>
        <w:t>、</w:t>
      </w:r>
      <w:r w:rsidRPr="00D733E6">
        <w:rPr>
          <w:rFonts w:ascii="仿宋_GB2312" w:eastAsia="仿宋_GB2312" w:hint="eastAsia"/>
          <w:bCs/>
          <w:szCs w:val="32"/>
        </w:rPr>
        <w:t>A&amp;HCI</w:t>
      </w:r>
      <w:r w:rsidRPr="00D733E6">
        <w:rPr>
          <w:rFonts w:ascii="仿宋_GB2312" w:eastAsia="仿宋_GB2312" w:hint="eastAsia"/>
          <w:bCs/>
          <w:szCs w:val="32"/>
        </w:rPr>
        <w:t>索引收录的学术论文；获教育部组织的网络文化评选奖励的作品（本项仅适用于专职政治辅导员申报教学系列辅导员职称）。</w:t>
      </w:r>
    </w:p>
    <w:p w:rsidR="00156962" w:rsidRPr="00D733E6" w:rsidRDefault="00D733E6">
      <w:pPr>
        <w:pStyle w:val="a4"/>
        <w:adjustRightInd w:val="0"/>
        <w:snapToGrid w:val="0"/>
        <w:spacing w:line="570" w:lineRule="exact"/>
        <w:rPr>
          <w:rFonts w:ascii="仿宋_GB2312" w:eastAsia="仿宋_GB2312"/>
          <w:bCs/>
          <w:szCs w:val="32"/>
        </w:rPr>
      </w:pPr>
      <w:r w:rsidRPr="00D733E6">
        <w:rPr>
          <w:rFonts w:ascii="仿宋_GB2312" w:eastAsia="仿宋_GB2312" w:hint="eastAsia"/>
          <w:bCs/>
          <w:szCs w:val="32"/>
        </w:rPr>
        <w:t>（三）在学术刊物的</w:t>
      </w:r>
      <w:r w:rsidRPr="00D733E6">
        <w:rPr>
          <w:rFonts w:ascii="仿宋_GB2312" w:eastAsia="仿宋_GB2312"/>
          <w:bCs/>
          <w:szCs w:val="32"/>
        </w:rPr>
        <w:t>“</w:t>
      </w:r>
      <w:r w:rsidRPr="00D733E6">
        <w:rPr>
          <w:rFonts w:ascii="仿宋_GB2312" w:eastAsia="仿宋_GB2312" w:hint="eastAsia"/>
          <w:bCs/>
          <w:szCs w:val="32"/>
        </w:rPr>
        <w:t>增刊、特刊、专刊、专辑</w:t>
      </w:r>
      <w:r w:rsidRPr="00D733E6">
        <w:rPr>
          <w:rFonts w:ascii="仿宋_GB2312" w:eastAsia="仿宋_GB2312"/>
          <w:bCs/>
          <w:szCs w:val="32"/>
        </w:rPr>
        <w:t>”</w:t>
      </w:r>
      <w:r w:rsidRPr="00D733E6">
        <w:rPr>
          <w:rFonts w:ascii="仿宋_GB2312" w:eastAsia="仿宋_GB2312" w:hint="eastAsia"/>
          <w:bCs/>
          <w:szCs w:val="32"/>
        </w:rPr>
        <w:t>上发表的论文以及论文集上收集的论文（未被</w:t>
      </w:r>
      <w:r w:rsidRPr="00D733E6">
        <w:rPr>
          <w:rFonts w:ascii="仿宋_GB2312" w:eastAsia="仿宋_GB2312"/>
          <w:bCs/>
          <w:szCs w:val="32"/>
        </w:rPr>
        <w:t xml:space="preserve"> 4 </w:t>
      </w:r>
      <w:r w:rsidRPr="00D733E6">
        <w:rPr>
          <w:rFonts w:ascii="仿宋_GB2312" w:eastAsia="仿宋_GB2312" w:hint="eastAsia"/>
          <w:bCs/>
          <w:szCs w:val="32"/>
        </w:rPr>
        <w:t>大索引收录）均不计入代表性成果，只供参考。</w:t>
      </w:r>
    </w:p>
    <w:p w:rsidR="00156962" w:rsidRPr="00D733E6" w:rsidRDefault="00D733E6">
      <w:pPr>
        <w:pStyle w:val="a4"/>
        <w:adjustRightInd w:val="0"/>
        <w:snapToGrid w:val="0"/>
        <w:spacing w:line="570" w:lineRule="exact"/>
        <w:rPr>
          <w:rFonts w:ascii="仿宋_GB2312" w:eastAsia="仿宋_GB2312"/>
          <w:bCs/>
          <w:szCs w:val="32"/>
        </w:rPr>
      </w:pPr>
      <w:r w:rsidRPr="00D733E6">
        <w:rPr>
          <w:rFonts w:ascii="仿宋_GB2312" w:eastAsia="仿宋_GB2312" w:hint="eastAsia"/>
          <w:bCs/>
          <w:szCs w:val="32"/>
        </w:rPr>
        <w:t>申报条件中要求的论文，应有二分之一在非本单位主办的刊物上发表。</w:t>
      </w:r>
    </w:p>
    <w:p w:rsidR="00156962" w:rsidRPr="00D733E6" w:rsidRDefault="00D733E6">
      <w:pPr>
        <w:pStyle w:val="3"/>
        <w:spacing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（四）中央级主要媒体：</w:t>
      </w:r>
      <w:bookmarkStart w:id="0" w:name="_GoBack"/>
      <w:bookmarkEnd w:id="0"/>
      <w:r w:rsidRPr="00D733E6">
        <w:rPr>
          <w:rFonts w:ascii="仿宋_GB2312" w:eastAsia="仿宋_GB2312" w:hAnsiTheme="minorHAnsi" w:cstheme="minorBidi" w:hint="eastAsia"/>
          <w:b w:val="0"/>
          <w:kern w:val="0"/>
          <w:szCs w:val="32"/>
        </w:rPr>
        <w:t>《人民日报》、《光明日报》、《经济日报》、《求是》、《新华每日电讯》、《参考消息》、</w:t>
      </w:r>
      <w:r w:rsidRPr="00D733E6">
        <w:rPr>
          <w:rFonts w:ascii="仿宋_GB2312" w:eastAsia="仿宋_GB2312" w:hAnsiTheme="minorHAnsi" w:cstheme="minorBidi" w:hint="eastAsia"/>
          <w:b w:val="0"/>
          <w:kern w:val="0"/>
          <w:szCs w:val="32"/>
        </w:rPr>
        <w:lastRenderedPageBreak/>
        <w:t>《半月谈》《环球时报》、中央电视台及其网站和官方</w:t>
      </w:r>
      <w:r w:rsidRPr="00D733E6">
        <w:rPr>
          <w:rFonts w:ascii="仿宋_GB2312" w:eastAsia="仿宋_GB2312" w:hAnsiTheme="minorHAnsi" w:cstheme="minorBidi" w:hint="eastAsia"/>
          <w:b w:val="0"/>
          <w:kern w:val="0"/>
          <w:szCs w:val="32"/>
        </w:rPr>
        <w:t>微博、官方微信、官方移动客户端。</w:t>
      </w:r>
    </w:p>
    <w:p w:rsidR="00156962" w:rsidRPr="00D733E6" w:rsidRDefault="00D733E6">
      <w:pPr>
        <w:pStyle w:val="3"/>
        <w:spacing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其它主流媒体包括</w:t>
      </w:r>
      <w:r w:rsidRPr="00D733E6">
        <w:rPr>
          <w:rFonts w:ascii="仿宋_GB2312" w:eastAsia="仿宋_GB2312" w:hAnsiTheme="minorHAnsi" w:cstheme="minorBidi" w:hint="eastAsia"/>
          <w:b w:val="0"/>
          <w:kern w:val="0"/>
          <w:szCs w:val="32"/>
        </w:rPr>
        <w:t xml:space="preserve">: </w:t>
      </w:r>
      <w:r w:rsidRPr="00D733E6">
        <w:rPr>
          <w:rFonts w:ascii="仿宋_GB2312" w:eastAsia="仿宋_GB2312" w:hAnsiTheme="minorHAnsi" w:cstheme="minorBidi" w:hint="eastAsia"/>
          <w:b w:val="0"/>
          <w:kern w:val="0"/>
          <w:szCs w:val="32"/>
        </w:rPr>
        <w:t>《南方日报》等各省</w:t>
      </w:r>
      <w:r w:rsidRPr="00D733E6">
        <w:rPr>
          <w:rFonts w:ascii="仿宋_GB2312" w:eastAsia="仿宋_GB2312" w:hAnsiTheme="minorHAnsi" w:cstheme="minorBidi" w:hint="eastAsia"/>
          <w:b w:val="0"/>
          <w:kern w:val="0"/>
          <w:szCs w:val="32"/>
        </w:rPr>
        <w:t>(</w:t>
      </w:r>
      <w:r w:rsidRPr="00D733E6">
        <w:rPr>
          <w:rFonts w:ascii="仿宋_GB2312" w:eastAsia="仿宋_GB2312" w:hAnsiTheme="minorHAnsi" w:cstheme="minorBidi" w:hint="eastAsia"/>
          <w:b w:val="0"/>
          <w:kern w:val="0"/>
          <w:szCs w:val="32"/>
        </w:rPr>
        <w:t>自治区、直辖市</w:t>
      </w:r>
      <w:r w:rsidRPr="00D733E6">
        <w:rPr>
          <w:rFonts w:ascii="仿宋_GB2312" w:eastAsia="仿宋_GB2312" w:hAnsiTheme="minorHAnsi" w:cstheme="minorBidi" w:hint="eastAsia"/>
          <w:b w:val="0"/>
          <w:kern w:val="0"/>
          <w:szCs w:val="32"/>
        </w:rPr>
        <w:t>)</w:t>
      </w:r>
      <w:r w:rsidRPr="00D733E6">
        <w:rPr>
          <w:rFonts w:ascii="仿宋_GB2312" w:eastAsia="仿宋_GB2312" w:hAnsiTheme="minorHAnsi" w:cstheme="minorBidi" w:hint="eastAsia"/>
          <w:b w:val="0"/>
          <w:kern w:val="0"/>
          <w:szCs w:val="32"/>
        </w:rPr>
        <w:t>党报、电视台，《广州日报》等省会城市党报、电视台，《中国教育报》《中国青年报》《中国科学报》《新京报》、中国教育电视台等影响力广泛的报刊、电视、网站及其官方微博、官方微信、官方移动客户端</w:t>
      </w:r>
      <w:r w:rsidRPr="00D733E6">
        <w:rPr>
          <w:rFonts w:ascii="仿宋_GB2312" w:eastAsia="仿宋_GB2312" w:hAnsiTheme="minorHAnsi" w:cstheme="minorBidi" w:hint="eastAsia"/>
          <w:b w:val="0"/>
          <w:kern w:val="0"/>
          <w:szCs w:val="32"/>
        </w:rPr>
        <w:t>;</w:t>
      </w:r>
      <w:r w:rsidRPr="00D733E6">
        <w:rPr>
          <w:rFonts w:ascii="仿宋_GB2312" w:eastAsia="仿宋_GB2312" w:hAnsiTheme="minorHAnsi" w:cstheme="minorBidi" w:hint="eastAsia"/>
          <w:b w:val="0"/>
          <w:kern w:val="0"/>
          <w:szCs w:val="32"/>
        </w:rPr>
        <w:t>省部级单位网站、省会城市政务网、新闻网，中国网、中国新闻网、澎湃新闻等网站及其官方微博、官方微信、官方移动客户端。</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（五）</w:t>
      </w:r>
      <w:r w:rsidRPr="00D733E6">
        <w:rPr>
          <w:rFonts w:ascii="仿宋_GB2312" w:eastAsia="仿宋_GB2312" w:hAnsiTheme="minorHAnsi" w:cstheme="minorBidi"/>
          <w:b w:val="0"/>
          <w:kern w:val="0"/>
          <w:szCs w:val="32"/>
        </w:rPr>
        <w:t>艺术作品</w:t>
      </w:r>
      <w:r w:rsidRPr="00D733E6">
        <w:rPr>
          <w:rFonts w:ascii="仿宋_GB2312" w:eastAsia="仿宋_GB2312" w:hAnsiTheme="minorHAnsi" w:cstheme="minorBidi" w:hint="eastAsia"/>
          <w:b w:val="0"/>
          <w:kern w:val="0"/>
          <w:szCs w:val="32"/>
        </w:rPr>
        <w:t>可参照以下标准折算</w:t>
      </w:r>
      <w:r w:rsidRPr="00D733E6">
        <w:rPr>
          <w:rFonts w:ascii="仿宋_GB2312" w:eastAsia="仿宋_GB2312" w:hAnsiTheme="minorHAnsi" w:cstheme="minorBidi"/>
          <w:b w:val="0"/>
          <w:kern w:val="0"/>
          <w:szCs w:val="32"/>
        </w:rPr>
        <w:t>论文（著作）</w:t>
      </w:r>
      <w:r w:rsidRPr="00D733E6">
        <w:rPr>
          <w:rFonts w:ascii="仿宋_GB2312" w:eastAsia="仿宋_GB2312" w:hAnsiTheme="minorHAnsi" w:cstheme="minorBidi" w:hint="eastAsia"/>
          <w:b w:val="0"/>
          <w:kern w:val="0"/>
          <w:szCs w:val="32"/>
        </w:rPr>
        <w:t>并按折算后的标准计分</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1.</w:t>
      </w:r>
      <w:r w:rsidRPr="00D733E6">
        <w:rPr>
          <w:rFonts w:ascii="仿宋_GB2312" w:eastAsia="仿宋_GB2312" w:hAnsiTheme="minorHAnsi" w:cstheme="minorBidi" w:hint="eastAsia"/>
          <w:b w:val="0"/>
          <w:kern w:val="0"/>
          <w:szCs w:val="32"/>
        </w:rPr>
        <w:t>以下作品折算为</w:t>
      </w:r>
      <w:r w:rsidRPr="00D733E6">
        <w:rPr>
          <w:rFonts w:ascii="仿宋_GB2312" w:eastAsia="仿宋_GB2312" w:hAnsiTheme="minorHAnsi" w:cstheme="minorBidi" w:hint="eastAsia"/>
          <w:b w:val="0"/>
          <w:kern w:val="0"/>
          <w:szCs w:val="32"/>
        </w:rPr>
        <w:t>1</w:t>
      </w:r>
      <w:r w:rsidRPr="00D733E6">
        <w:rPr>
          <w:rFonts w:ascii="仿宋_GB2312" w:eastAsia="仿宋_GB2312" w:hAnsiTheme="minorHAnsi" w:cstheme="minorBidi" w:hint="eastAsia"/>
          <w:b w:val="0"/>
          <w:kern w:val="0"/>
          <w:szCs w:val="32"/>
        </w:rPr>
        <w:t>篇高水平论文：</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A. </w:t>
      </w:r>
      <w:r w:rsidRPr="00D733E6">
        <w:rPr>
          <w:rFonts w:ascii="仿宋_GB2312" w:eastAsia="仿宋_GB2312" w:hAnsiTheme="minorHAnsi" w:cstheme="minorBidi" w:hint="eastAsia"/>
          <w:b w:val="0"/>
          <w:kern w:val="0"/>
          <w:szCs w:val="32"/>
        </w:rPr>
        <w:t>主办单位为中央宣传部、国家文化部、中国文联的参展作品；</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B. </w:t>
      </w:r>
      <w:r w:rsidRPr="00D733E6">
        <w:rPr>
          <w:rFonts w:ascii="仿宋_GB2312" w:eastAsia="仿宋_GB2312" w:hAnsiTheme="minorHAnsi" w:cstheme="minorBidi" w:hint="eastAsia"/>
          <w:b w:val="0"/>
          <w:kern w:val="0"/>
          <w:szCs w:val="32"/>
        </w:rPr>
        <w:t>国家体育美展</w:t>
      </w:r>
      <w:r w:rsidRPr="00D733E6">
        <w:rPr>
          <w:rFonts w:ascii="仿宋_GB2312" w:eastAsia="仿宋_GB2312" w:hAnsiTheme="minorHAnsi" w:cstheme="minorBidi" w:hint="eastAsia"/>
          <w:b w:val="0"/>
          <w:kern w:val="0"/>
          <w:szCs w:val="32"/>
        </w:rPr>
        <w:t>参展</w:t>
      </w:r>
      <w:r w:rsidRPr="00D733E6">
        <w:rPr>
          <w:rFonts w:ascii="仿宋_GB2312" w:eastAsia="仿宋_GB2312" w:hAnsiTheme="minorHAnsi" w:cstheme="minorBidi" w:hint="eastAsia"/>
          <w:b w:val="0"/>
          <w:kern w:val="0"/>
          <w:szCs w:val="32"/>
        </w:rPr>
        <w:t>作品</w:t>
      </w:r>
      <w:r w:rsidRPr="00D733E6">
        <w:rPr>
          <w:rFonts w:ascii="仿宋_GB2312" w:eastAsia="仿宋_GB2312" w:hAnsiTheme="minorHAnsi" w:cstheme="minorBidi" w:hint="eastAsia"/>
          <w:b w:val="0"/>
          <w:kern w:val="0"/>
          <w:szCs w:val="32"/>
        </w:rPr>
        <w:t>；</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C. </w:t>
      </w:r>
      <w:r w:rsidRPr="00D733E6">
        <w:rPr>
          <w:rFonts w:ascii="仿宋_GB2312" w:eastAsia="仿宋_GB2312" w:hAnsiTheme="minorHAnsi" w:cstheme="minorBidi" w:hint="eastAsia"/>
          <w:b w:val="0"/>
          <w:kern w:val="0"/>
          <w:szCs w:val="32"/>
        </w:rPr>
        <w:t>被国家级博物馆、美术馆收藏的作品；</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D. </w:t>
      </w:r>
      <w:r w:rsidRPr="00D733E6">
        <w:rPr>
          <w:rFonts w:ascii="仿宋_GB2312" w:eastAsia="仿宋_GB2312" w:hAnsiTheme="minorHAnsi" w:cstheme="minorBidi" w:hint="eastAsia"/>
          <w:b w:val="0"/>
          <w:kern w:val="0"/>
          <w:szCs w:val="32"/>
        </w:rPr>
        <w:t>主办单位为中央宣传部、国家文化部、中国文联、中央人民广播电台、中国国际广播电台、中央电视台的参演、参赛作品或原创作品；</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E. </w:t>
      </w:r>
      <w:r w:rsidRPr="00D733E6">
        <w:rPr>
          <w:rFonts w:ascii="仿宋_GB2312" w:eastAsia="仿宋_GB2312" w:hAnsiTheme="minorHAnsi" w:cstheme="minorBidi" w:hint="eastAsia"/>
          <w:b w:val="0"/>
          <w:kern w:val="0"/>
          <w:szCs w:val="32"/>
        </w:rPr>
        <w:t>作为主要演员（独唱、独奏、独舞、指挥、主持）参加一场演出（主办单位为中央宣传部、国家文化部、中国文联、中央人民广播电台、中国国际广播电台、中央电视台。）</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F. </w:t>
      </w:r>
      <w:r w:rsidRPr="00D733E6">
        <w:rPr>
          <w:rFonts w:ascii="仿宋_GB2312" w:eastAsia="仿宋_GB2312" w:hAnsiTheme="minorHAnsi" w:cstheme="minorBidi" w:hint="eastAsia"/>
          <w:b w:val="0"/>
          <w:kern w:val="0"/>
          <w:szCs w:val="32"/>
        </w:rPr>
        <w:t>行业协（学）会</w:t>
      </w:r>
      <w:r w:rsidRPr="00D733E6">
        <w:rPr>
          <w:rFonts w:ascii="仿宋_GB2312" w:eastAsia="仿宋_GB2312" w:hAnsiTheme="minorHAnsi" w:cstheme="minorBidi" w:hint="eastAsia"/>
          <w:b w:val="0"/>
          <w:kern w:val="0"/>
          <w:szCs w:val="32"/>
        </w:rPr>
        <w:t>承</w:t>
      </w:r>
      <w:r w:rsidRPr="00D733E6">
        <w:rPr>
          <w:rFonts w:ascii="仿宋_GB2312" w:eastAsia="仿宋_GB2312" w:hAnsiTheme="minorHAnsi" w:cstheme="minorBidi" w:hint="eastAsia"/>
          <w:b w:val="0"/>
          <w:kern w:val="0"/>
          <w:szCs w:val="32"/>
        </w:rPr>
        <w:t>办〔主办单位为国家教育部、国家住房与城乡建设部、工业与信息化部等国家政府主管部门</w:t>
      </w:r>
      <w:r w:rsidRPr="00D733E6">
        <w:rPr>
          <w:rFonts w:ascii="仿宋_GB2312" w:eastAsia="仿宋_GB2312" w:hAnsiTheme="minorHAnsi" w:cstheme="minorBidi" w:hint="eastAsia"/>
          <w:b w:val="0"/>
          <w:kern w:val="0"/>
          <w:szCs w:val="32"/>
        </w:rPr>
        <w:t>）</w:t>
      </w:r>
      <w:r w:rsidRPr="00D733E6">
        <w:rPr>
          <w:rFonts w:ascii="仿宋_GB2312" w:eastAsia="仿宋_GB2312" w:hAnsiTheme="minorHAnsi" w:cstheme="minorBidi" w:hint="eastAsia"/>
          <w:b w:val="0"/>
          <w:kern w:val="0"/>
          <w:szCs w:val="32"/>
        </w:rPr>
        <w:lastRenderedPageBreak/>
        <w:t>或中国美术家协（学）会、中国摄影家协会、中国书法家协会、中国工业设计协会、中国包装协会、中国建筑学会</w:t>
      </w:r>
      <w:r w:rsidRPr="00D733E6">
        <w:rPr>
          <w:rFonts w:ascii="仿宋_GB2312" w:eastAsia="仿宋_GB2312" w:hAnsiTheme="minorHAnsi" w:cstheme="minorBidi" w:hint="eastAsia"/>
          <w:b w:val="0"/>
          <w:kern w:val="0"/>
          <w:szCs w:val="32"/>
        </w:rPr>
        <w:t>协会主办的</w:t>
      </w:r>
      <w:r w:rsidRPr="00D733E6">
        <w:rPr>
          <w:rFonts w:ascii="仿宋_GB2312" w:eastAsia="仿宋_GB2312" w:hAnsiTheme="minorHAnsi" w:cstheme="minorBidi" w:hint="eastAsia"/>
          <w:b w:val="0"/>
          <w:kern w:val="0"/>
          <w:szCs w:val="32"/>
        </w:rPr>
        <w:t>美术、艺术设计展入选作品；</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G. </w:t>
      </w:r>
      <w:r w:rsidRPr="00D733E6">
        <w:rPr>
          <w:rFonts w:ascii="仿宋_GB2312" w:eastAsia="仿宋_GB2312" w:hAnsiTheme="minorHAnsi" w:cstheme="minorBidi" w:hint="eastAsia"/>
          <w:b w:val="0"/>
          <w:kern w:val="0"/>
          <w:szCs w:val="32"/>
        </w:rPr>
        <w:t>由国际、全国性重大比赛组委会主办的美术、艺术设计展入选作品；</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H. </w:t>
      </w:r>
      <w:r w:rsidRPr="00D733E6">
        <w:rPr>
          <w:rFonts w:ascii="仿宋_GB2312" w:eastAsia="仿宋_GB2312" w:hAnsiTheme="minorHAnsi" w:cstheme="minorBidi" w:hint="eastAsia"/>
          <w:b w:val="0"/>
          <w:kern w:val="0"/>
          <w:szCs w:val="32"/>
        </w:rPr>
        <w:t>国际美术交流展入选作品；</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I. </w:t>
      </w:r>
      <w:r w:rsidRPr="00D733E6">
        <w:rPr>
          <w:rFonts w:ascii="仿宋_GB2312" w:eastAsia="仿宋_GB2312" w:hAnsiTheme="minorHAnsi" w:cstheme="minorBidi" w:hint="eastAsia"/>
          <w:b w:val="0"/>
          <w:kern w:val="0"/>
          <w:szCs w:val="32"/>
        </w:rPr>
        <w:t>作为主要演员参加由中央宣传部、国家文化部、中国文联、中央人民广播电台、中国国际广播电台、中央电视台主办的一场演出；</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J. </w:t>
      </w:r>
      <w:r w:rsidRPr="00D733E6">
        <w:rPr>
          <w:rFonts w:ascii="仿宋_GB2312" w:eastAsia="仿宋_GB2312" w:hAnsiTheme="minorHAnsi" w:cstheme="minorBidi" w:hint="eastAsia"/>
          <w:b w:val="0"/>
          <w:kern w:val="0"/>
          <w:szCs w:val="32"/>
        </w:rPr>
        <w:t>由国家教育部、中国音乐家协会、中国电视艺术家协会或由国际、全国性</w:t>
      </w:r>
      <w:r w:rsidRPr="00D733E6">
        <w:rPr>
          <w:rFonts w:ascii="仿宋_GB2312" w:eastAsia="仿宋_GB2312" w:hAnsiTheme="minorHAnsi" w:cstheme="minorBidi" w:hint="eastAsia"/>
          <w:b w:val="0"/>
          <w:kern w:val="0"/>
          <w:szCs w:val="32"/>
        </w:rPr>
        <w:t>重大比赛组委会主办的文艺演出的参演参赛作品。</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2.</w:t>
      </w:r>
      <w:r w:rsidRPr="00D733E6">
        <w:rPr>
          <w:rFonts w:ascii="仿宋_GB2312" w:eastAsia="仿宋_GB2312" w:hAnsiTheme="minorHAnsi" w:cstheme="minorBidi" w:hint="eastAsia"/>
          <w:b w:val="0"/>
          <w:kern w:val="0"/>
          <w:szCs w:val="32"/>
        </w:rPr>
        <w:t>以下作品折算为</w:t>
      </w:r>
      <w:r w:rsidRPr="00D733E6">
        <w:rPr>
          <w:rFonts w:ascii="仿宋_GB2312" w:eastAsia="仿宋_GB2312" w:hAnsiTheme="minorHAnsi" w:cstheme="minorBidi" w:hint="eastAsia"/>
          <w:b w:val="0"/>
          <w:kern w:val="0"/>
          <w:szCs w:val="32"/>
        </w:rPr>
        <w:t>1</w:t>
      </w:r>
      <w:r w:rsidRPr="00D733E6">
        <w:rPr>
          <w:rFonts w:ascii="仿宋_GB2312" w:eastAsia="仿宋_GB2312" w:hAnsiTheme="minorHAnsi" w:cstheme="minorBidi" w:hint="eastAsia"/>
          <w:b w:val="0"/>
          <w:kern w:val="0"/>
          <w:szCs w:val="32"/>
        </w:rPr>
        <w:t>篇普通论文：</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A. </w:t>
      </w:r>
      <w:r w:rsidRPr="00D733E6">
        <w:rPr>
          <w:rFonts w:ascii="仿宋_GB2312" w:eastAsia="仿宋_GB2312" w:hAnsiTheme="minorHAnsi" w:cstheme="minorBidi" w:hint="eastAsia"/>
          <w:b w:val="0"/>
          <w:kern w:val="0"/>
          <w:szCs w:val="32"/>
        </w:rPr>
        <w:t>主办单位为教育厅、省级美术家协会、书法家协会、摄影家协会或其他相关协会的参展作品，省体育美展参展作品；</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B. </w:t>
      </w:r>
      <w:r w:rsidRPr="00D733E6">
        <w:rPr>
          <w:rFonts w:ascii="仿宋_GB2312" w:eastAsia="仿宋_GB2312" w:hAnsiTheme="minorHAnsi" w:cstheme="minorBidi" w:hint="eastAsia"/>
          <w:b w:val="0"/>
          <w:kern w:val="0"/>
          <w:szCs w:val="32"/>
        </w:rPr>
        <w:t>主办单位为省委宣传部、省文化厅、省文联的参演、参赛作品或一部原创作品；</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C. </w:t>
      </w:r>
      <w:r w:rsidRPr="00D733E6">
        <w:rPr>
          <w:rFonts w:ascii="仿宋_GB2312" w:eastAsia="仿宋_GB2312" w:hAnsiTheme="minorHAnsi" w:cstheme="minorBidi" w:hint="eastAsia"/>
          <w:b w:val="0"/>
          <w:kern w:val="0"/>
          <w:szCs w:val="32"/>
        </w:rPr>
        <w:t>作为主要演员（独唱、独奏、独舞、指挥）演出一场（主办单位为省委宣传部、省文化厅、省文联）；</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D. </w:t>
      </w:r>
      <w:r w:rsidRPr="00D733E6">
        <w:rPr>
          <w:rFonts w:ascii="仿宋_GB2312" w:eastAsia="仿宋_GB2312" w:hAnsiTheme="minorHAnsi" w:cstheme="minorBidi" w:hint="eastAsia"/>
          <w:b w:val="0"/>
          <w:kern w:val="0"/>
          <w:szCs w:val="32"/>
        </w:rPr>
        <w:t>主办单位为省电视台的参演、参赛作品</w:t>
      </w:r>
      <w:r w:rsidRPr="00D733E6">
        <w:rPr>
          <w:rFonts w:ascii="仿宋_GB2312" w:eastAsia="仿宋_GB2312" w:hAnsiTheme="minorHAnsi" w:cstheme="minorBidi" w:hint="eastAsia"/>
          <w:b w:val="0"/>
          <w:kern w:val="0"/>
          <w:szCs w:val="32"/>
        </w:rPr>
        <w:t>或原创作品</w:t>
      </w:r>
      <w:r w:rsidRPr="00D733E6">
        <w:rPr>
          <w:rFonts w:ascii="仿宋_GB2312" w:eastAsia="仿宋_GB2312" w:hAnsiTheme="minorHAnsi" w:cstheme="minorBidi" w:hint="eastAsia"/>
          <w:b w:val="0"/>
          <w:kern w:val="0"/>
          <w:szCs w:val="32"/>
        </w:rPr>
        <w:t>；</w:t>
      </w:r>
    </w:p>
    <w:p w:rsidR="00156962" w:rsidRPr="00D733E6" w:rsidRDefault="00D733E6">
      <w:pPr>
        <w:pStyle w:val="a8"/>
        <w:widowControl w:val="0"/>
        <w:spacing w:before="0" w:after="0"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 xml:space="preserve">E. </w:t>
      </w:r>
      <w:r w:rsidRPr="00D733E6">
        <w:rPr>
          <w:rFonts w:ascii="仿宋_GB2312" w:eastAsia="仿宋_GB2312" w:hAnsiTheme="minorHAnsi" w:cstheme="minorBidi" w:hint="eastAsia"/>
          <w:b w:val="0"/>
          <w:kern w:val="0"/>
          <w:szCs w:val="32"/>
        </w:rPr>
        <w:t>作为主要演员（独唱、独奏、独舞、指挥）演出两场（主办单位为省教育厅、省音乐家协会、省舞</w:t>
      </w:r>
      <w:r w:rsidRPr="00D733E6">
        <w:rPr>
          <w:rFonts w:ascii="仿宋_GB2312" w:eastAsia="仿宋_GB2312" w:hAnsiTheme="minorHAnsi" w:cstheme="minorBidi" w:hint="eastAsia"/>
          <w:b w:val="0"/>
          <w:kern w:val="0"/>
          <w:szCs w:val="32"/>
        </w:rPr>
        <w:t>蹈家协会、省戏剧家协会、省电影电视艺术家协会、省电视台）。</w:t>
      </w:r>
    </w:p>
    <w:p w:rsidR="00156962" w:rsidRPr="00D733E6" w:rsidRDefault="00D733E6">
      <w:pPr>
        <w:pStyle w:val="3"/>
        <w:widowControl w:val="0"/>
        <w:spacing w:line="570" w:lineRule="exact"/>
        <w:ind w:firstLine="640"/>
        <w:jc w:val="both"/>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lastRenderedPageBreak/>
        <w:t>（六）通过处理重大技术问题或解决疑难技术问题而撰写的有重大价值的专项技术分析报告或重大项目可行性研究报告（经省级以上部门鉴定或被采纳实施）参照高水平论文赋分。</w:t>
      </w:r>
    </w:p>
    <w:p w:rsidR="00156962" w:rsidRPr="00D733E6" w:rsidRDefault="00D733E6">
      <w:pPr>
        <w:pStyle w:val="3"/>
        <w:spacing w:line="570" w:lineRule="exact"/>
        <w:ind w:firstLine="640"/>
        <w:rPr>
          <w:rFonts w:ascii="仿宋_GB2312" w:eastAsia="仿宋_GB2312"/>
          <w:b w:val="0"/>
          <w:bCs/>
          <w:szCs w:val="32"/>
        </w:rPr>
      </w:pPr>
      <w:r w:rsidRPr="00D733E6">
        <w:rPr>
          <w:rFonts w:ascii="仿宋_GB2312" w:eastAsia="仿宋_GB2312" w:hint="eastAsia"/>
          <w:b w:val="0"/>
          <w:bCs/>
          <w:szCs w:val="32"/>
        </w:rPr>
        <w:t>（七）著作须是第一作者，或是本人撰写部分应不少于以下规定字数：</w:t>
      </w:r>
      <w:proofErr w:type="gramStart"/>
      <w:r w:rsidRPr="00D733E6">
        <w:rPr>
          <w:rFonts w:ascii="仿宋_GB2312" w:eastAsia="仿宋_GB2312" w:hint="eastAsia"/>
          <w:b w:val="0"/>
          <w:bCs/>
          <w:szCs w:val="32"/>
        </w:rPr>
        <w:t>申报正</w:t>
      </w:r>
      <w:proofErr w:type="gramEnd"/>
      <w:r w:rsidRPr="00D733E6">
        <w:rPr>
          <w:rFonts w:ascii="仿宋_GB2312" w:eastAsia="仿宋_GB2312" w:hint="eastAsia"/>
          <w:b w:val="0"/>
          <w:bCs/>
          <w:szCs w:val="32"/>
        </w:rPr>
        <w:t>高级职称的</w:t>
      </w:r>
      <w:proofErr w:type="gramStart"/>
      <w:r w:rsidRPr="00D733E6">
        <w:rPr>
          <w:rFonts w:ascii="仿宋_GB2312" w:eastAsia="仿宋_GB2312" w:hint="eastAsia"/>
          <w:b w:val="0"/>
          <w:bCs/>
          <w:szCs w:val="32"/>
        </w:rPr>
        <w:t>应不少</w:t>
      </w:r>
      <w:proofErr w:type="gramEnd"/>
      <w:r w:rsidRPr="00D733E6">
        <w:rPr>
          <w:rFonts w:ascii="仿宋_GB2312" w:eastAsia="仿宋_GB2312" w:hint="eastAsia"/>
          <w:b w:val="0"/>
          <w:bCs/>
          <w:szCs w:val="32"/>
        </w:rPr>
        <w:t>8</w:t>
      </w:r>
      <w:r w:rsidRPr="00D733E6">
        <w:rPr>
          <w:rFonts w:ascii="仿宋_GB2312" w:eastAsia="仿宋_GB2312" w:hint="eastAsia"/>
          <w:b w:val="0"/>
          <w:bCs/>
          <w:szCs w:val="32"/>
        </w:rPr>
        <w:t>万字、申报副高级职称的应不少于</w:t>
      </w:r>
      <w:r w:rsidRPr="00D733E6">
        <w:rPr>
          <w:rFonts w:ascii="仿宋_GB2312" w:eastAsia="仿宋_GB2312" w:hint="eastAsia"/>
          <w:b w:val="0"/>
          <w:bCs/>
          <w:szCs w:val="32"/>
        </w:rPr>
        <w:t>6</w:t>
      </w:r>
      <w:r w:rsidRPr="00D733E6">
        <w:rPr>
          <w:rFonts w:ascii="仿宋_GB2312" w:eastAsia="仿宋_GB2312" w:hint="eastAsia"/>
          <w:b w:val="0"/>
          <w:bCs/>
          <w:szCs w:val="32"/>
        </w:rPr>
        <w:t>万字、申报中级职称的应不少于</w:t>
      </w:r>
      <w:r w:rsidRPr="00D733E6">
        <w:rPr>
          <w:rFonts w:ascii="仿宋_GB2312" w:eastAsia="仿宋_GB2312" w:hint="eastAsia"/>
          <w:b w:val="0"/>
          <w:bCs/>
          <w:szCs w:val="32"/>
        </w:rPr>
        <w:t>3</w:t>
      </w:r>
      <w:r w:rsidRPr="00D733E6">
        <w:rPr>
          <w:rFonts w:ascii="仿宋_GB2312" w:eastAsia="仿宋_GB2312" w:hint="eastAsia"/>
          <w:b w:val="0"/>
          <w:bCs/>
          <w:szCs w:val="32"/>
        </w:rPr>
        <w:t>万字。</w:t>
      </w:r>
    </w:p>
    <w:p w:rsidR="00156962" w:rsidRPr="00D733E6" w:rsidRDefault="00D733E6">
      <w:pPr>
        <w:pStyle w:val="3"/>
        <w:spacing w:line="570" w:lineRule="exact"/>
        <w:ind w:firstLine="640"/>
        <w:rPr>
          <w:rFonts w:ascii="仿宋_GB2312" w:eastAsia="仿宋_GB2312" w:hAnsiTheme="minorHAnsi" w:cstheme="minorBidi"/>
          <w:kern w:val="0"/>
          <w:szCs w:val="32"/>
        </w:rPr>
      </w:pPr>
      <w:r w:rsidRPr="00D733E6">
        <w:rPr>
          <w:rFonts w:ascii="仿宋_GB2312" w:eastAsia="仿宋_GB2312" w:hint="eastAsia"/>
          <w:b w:val="0"/>
          <w:bCs/>
          <w:szCs w:val="32"/>
        </w:rPr>
        <w:t>(</w:t>
      </w:r>
      <w:r w:rsidRPr="00D733E6">
        <w:rPr>
          <w:rFonts w:ascii="仿宋_GB2312" w:eastAsia="仿宋_GB2312" w:hint="eastAsia"/>
          <w:b w:val="0"/>
          <w:bCs/>
          <w:szCs w:val="32"/>
        </w:rPr>
        <w:t>八</w:t>
      </w:r>
      <w:r w:rsidRPr="00D733E6">
        <w:rPr>
          <w:rFonts w:ascii="仿宋_GB2312" w:eastAsia="仿宋_GB2312" w:hint="eastAsia"/>
          <w:b w:val="0"/>
          <w:bCs/>
          <w:szCs w:val="32"/>
        </w:rPr>
        <w:t>)</w:t>
      </w:r>
      <w:r w:rsidRPr="00D733E6">
        <w:rPr>
          <w:rFonts w:ascii="仿宋_GB2312" w:eastAsia="仿宋_GB2312" w:hint="eastAsia"/>
          <w:b w:val="0"/>
          <w:bCs/>
          <w:szCs w:val="32"/>
        </w:rPr>
        <w:t>核心编者为承担的编写任务不少于全书的</w:t>
      </w:r>
      <w:r w:rsidRPr="00D733E6">
        <w:rPr>
          <w:rFonts w:ascii="仿宋_GB2312" w:eastAsia="仿宋_GB2312" w:hint="eastAsia"/>
          <w:b w:val="0"/>
          <w:bCs/>
          <w:szCs w:val="32"/>
        </w:rPr>
        <w:t>30%</w:t>
      </w:r>
      <w:r w:rsidRPr="00D733E6">
        <w:rPr>
          <w:rFonts w:ascii="仿宋_GB2312" w:eastAsia="仿宋_GB2312" w:hint="eastAsia"/>
          <w:b w:val="0"/>
          <w:bCs/>
          <w:szCs w:val="32"/>
        </w:rPr>
        <w:t>的编者。</w:t>
      </w:r>
    </w:p>
    <w:p w:rsidR="00156962" w:rsidRPr="00D733E6" w:rsidRDefault="00D733E6">
      <w:pPr>
        <w:pStyle w:val="a4"/>
        <w:widowControl w:val="0"/>
        <w:adjustRightInd w:val="0"/>
        <w:snapToGrid w:val="0"/>
        <w:spacing w:line="570" w:lineRule="exact"/>
        <w:jc w:val="both"/>
        <w:rPr>
          <w:rFonts w:ascii="方正黑体_GBK" w:eastAsia="方正黑体_GBK" w:hAnsiTheme="minorHAnsi" w:cs="Times New Roman"/>
          <w:szCs w:val="32"/>
        </w:rPr>
      </w:pPr>
      <w:r w:rsidRPr="00D733E6">
        <w:rPr>
          <w:rFonts w:ascii="方正黑体_GBK" w:eastAsia="方正黑体_GBK" w:hAnsiTheme="minorHAnsi" w:cs="Times New Roman" w:hint="eastAsia"/>
          <w:szCs w:val="32"/>
        </w:rPr>
        <w:t>三</w:t>
      </w:r>
      <w:r w:rsidRPr="00D733E6">
        <w:rPr>
          <w:rFonts w:ascii="方正黑体_GBK" w:eastAsia="方正黑体_GBK" w:hAnsiTheme="minorHAnsi" w:cs="Times New Roman" w:hint="eastAsia"/>
          <w:szCs w:val="32"/>
        </w:rPr>
        <w:t>、</w:t>
      </w:r>
      <w:r w:rsidRPr="00D733E6">
        <w:rPr>
          <w:rFonts w:ascii="方正黑体_GBK" w:eastAsia="方正黑体_GBK" w:hAnsiTheme="minorHAnsi" w:cs="Times New Roman"/>
          <w:szCs w:val="32"/>
        </w:rPr>
        <w:t>项目（课题）、成果级别</w:t>
      </w:r>
    </w:p>
    <w:p w:rsidR="00156962" w:rsidRPr="00D733E6" w:rsidRDefault="00D733E6">
      <w:pPr>
        <w:pStyle w:val="a4"/>
        <w:widowControl w:val="0"/>
        <w:adjustRightInd w:val="0"/>
        <w:snapToGrid w:val="0"/>
        <w:spacing w:line="570" w:lineRule="exact"/>
        <w:jc w:val="both"/>
        <w:rPr>
          <w:rFonts w:eastAsia="方正仿宋简体"/>
          <w:bCs/>
          <w:szCs w:val="32"/>
        </w:rPr>
      </w:pPr>
      <w:r w:rsidRPr="00D733E6">
        <w:rPr>
          <w:rFonts w:eastAsia="方正仿宋简体"/>
          <w:bCs/>
          <w:szCs w:val="32"/>
        </w:rPr>
        <w:t>各类项目（课题）、成果共分四个级别，即国家级、省级、市级和校级。</w:t>
      </w:r>
    </w:p>
    <w:p w:rsidR="00156962" w:rsidRPr="00D733E6" w:rsidRDefault="00D733E6">
      <w:pPr>
        <w:pStyle w:val="a4"/>
        <w:widowControl w:val="0"/>
        <w:adjustRightInd w:val="0"/>
        <w:snapToGrid w:val="0"/>
        <w:spacing w:line="570" w:lineRule="exact"/>
        <w:ind w:firstLine="643"/>
        <w:jc w:val="both"/>
        <w:rPr>
          <w:rFonts w:eastAsia="方正仿宋简体"/>
          <w:bCs/>
          <w:szCs w:val="32"/>
        </w:rPr>
      </w:pPr>
      <w:r w:rsidRPr="00D733E6">
        <w:rPr>
          <w:rFonts w:eastAsia="方正仿宋简体" w:hint="eastAsia"/>
          <w:b/>
          <w:szCs w:val="32"/>
        </w:rPr>
        <w:t>（一）</w:t>
      </w:r>
      <w:r w:rsidRPr="00D733E6">
        <w:rPr>
          <w:rFonts w:eastAsia="方正仿宋简体"/>
          <w:b/>
          <w:szCs w:val="32"/>
        </w:rPr>
        <w:t>国家级：</w:t>
      </w:r>
      <w:r w:rsidRPr="00D733E6">
        <w:rPr>
          <w:rFonts w:eastAsia="方正仿宋简体"/>
          <w:bCs/>
          <w:szCs w:val="32"/>
        </w:rPr>
        <w:t>由国务院所属各部委下达的国家级政府项目，包括：国家自然科学基金项目、国家社会科学基金项目、科技部计划类项目、教育部各类研究项目、其他部委规划项目等。</w:t>
      </w:r>
    </w:p>
    <w:p w:rsidR="00156962" w:rsidRPr="00D733E6" w:rsidRDefault="00D733E6">
      <w:pPr>
        <w:pStyle w:val="a4"/>
        <w:widowControl w:val="0"/>
        <w:adjustRightInd w:val="0"/>
        <w:snapToGrid w:val="0"/>
        <w:spacing w:line="570" w:lineRule="exact"/>
        <w:ind w:firstLine="643"/>
        <w:jc w:val="both"/>
        <w:rPr>
          <w:rFonts w:eastAsia="方正仿宋简体"/>
          <w:bCs/>
          <w:szCs w:val="32"/>
        </w:rPr>
      </w:pPr>
      <w:r w:rsidRPr="00D733E6">
        <w:rPr>
          <w:rFonts w:eastAsia="方正仿宋简体" w:hint="eastAsia"/>
          <w:b/>
          <w:szCs w:val="32"/>
        </w:rPr>
        <w:t>（二）</w:t>
      </w:r>
      <w:r w:rsidRPr="00D733E6">
        <w:rPr>
          <w:rFonts w:eastAsia="方正仿宋简体"/>
          <w:b/>
          <w:szCs w:val="32"/>
        </w:rPr>
        <w:t>省级：</w:t>
      </w:r>
      <w:r w:rsidRPr="00D733E6">
        <w:rPr>
          <w:rFonts w:eastAsia="方正仿宋简体"/>
          <w:bCs/>
          <w:szCs w:val="32"/>
        </w:rPr>
        <w:t>由省属各厅（局）下达的省级政府项目；各类国家一级专业技术学（协）会、研究会，教育部职业院校教学（教育）指导委员会等下达的研究项目。</w:t>
      </w:r>
    </w:p>
    <w:p w:rsidR="00156962" w:rsidRPr="00D733E6" w:rsidRDefault="00D733E6">
      <w:pPr>
        <w:pStyle w:val="a4"/>
        <w:widowControl w:val="0"/>
        <w:adjustRightInd w:val="0"/>
        <w:snapToGrid w:val="0"/>
        <w:spacing w:line="570" w:lineRule="exact"/>
        <w:ind w:firstLine="643"/>
        <w:jc w:val="both"/>
        <w:rPr>
          <w:rFonts w:eastAsia="方正仿宋简体"/>
          <w:bCs/>
          <w:szCs w:val="32"/>
        </w:rPr>
      </w:pPr>
      <w:r w:rsidRPr="00D733E6">
        <w:rPr>
          <w:rFonts w:eastAsia="方正仿宋简体" w:hint="eastAsia"/>
          <w:b/>
          <w:szCs w:val="32"/>
        </w:rPr>
        <w:t>（三）</w:t>
      </w:r>
      <w:r w:rsidRPr="00D733E6">
        <w:rPr>
          <w:rFonts w:eastAsia="方正仿宋简体"/>
          <w:b/>
          <w:szCs w:val="32"/>
        </w:rPr>
        <w:t>市级：</w:t>
      </w:r>
      <w:r w:rsidRPr="00D733E6">
        <w:rPr>
          <w:rFonts w:eastAsia="方正仿宋简体"/>
          <w:bCs/>
          <w:szCs w:val="32"/>
        </w:rPr>
        <w:t>由市属各行政部门下达的市级政府项目；</w:t>
      </w:r>
      <w:proofErr w:type="gramStart"/>
      <w:r w:rsidRPr="00D733E6">
        <w:rPr>
          <w:rFonts w:eastAsia="方正仿宋简体"/>
          <w:bCs/>
          <w:szCs w:val="32"/>
        </w:rPr>
        <w:t>各类省一级</w:t>
      </w:r>
      <w:proofErr w:type="gramEnd"/>
      <w:r w:rsidRPr="00D733E6">
        <w:rPr>
          <w:rFonts w:eastAsia="方正仿宋简体"/>
          <w:bCs/>
          <w:szCs w:val="32"/>
        </w:rPr>
        <w:t>专业技术学（协）会、研究会，省教育厅下属部门，广东省高等职业教育教学指导委员会下达的研究项目。</w:t>
      </w:r>
    </w:p>
    <w:p w:rsidR="00156962" w:rsidRPr="00D733E6" w:rsidRDefault="00D733E6">
      <w:pPr>
        <w:pStyle w:val="a4"/>
        <w:widowControl w:val="0"/>
        <w:adjustRightInd w:val="0"/>
        <w:snapToGrid w:val="0"/>
        <w:spacing w:line="570" w:lineRule="exact"/>
        <w:ind w:firstLine="643"/>
        <w:jc w:val="both"/>
        <w:rPr>
          <w:rFonts w:eastAsia="方正仿宋简体"/>
          <w:bCs/>
          <w:szCs w:val="32"/>
        </w:rPr>
      </w:pPr>
      <w:r w:rsidRPr="00D733E6">
        <w:rPr>
          <w:rFonts w:eastAsia="方正仿宋简体" w:hint="eastAsia"/>
          <w:b/>
          <w:szCs w:val="32"/>
        </w:rPr>
        <w:t>（四）</w:t>
      </w:r>
      <w:r w:rsidRPr="00D733E6">
        <w:rPr>
          <w:rFonts w:eastAsia="方正仿宋简体"/>
          <w:b/>
          <w:szCs w:val="32"/>
        </w:rPr>
        <w:t>校级：</w:t>
      </w:r>
      <w:r w:rsidRPr="00D733E6">
        <w:rPr>
          <w:rFonts w:eastAsia="方正仿宋简体"/>
          <w:bCs/>
          <w:szCs w:val="32"/>
        </w:rPr>
        <w:t>由学校下达的科技计划项目、教育科学课题、哲学社会科学课题、思想政治教育课题和委托课题等。</w:t>
      </w:r>
      <w:r w:rsidRPr="00D733E6">
        <w:rPr>
          <w:rFonts w:eastAsia="方正仿宋简体"/>
          <w:bCs/>
          <w:szCs w:val="32"/>
        </w:rPr>
        <w:lastRenderedPageBreak/>
        <w:t>学校教学成果奖培育项目和</w:t>
      </w:r>
      <w:r w:rsidRPr="00D733E6">
        <w:rPr>
          <w:rFonts w:eastAsia="方正仿宋简体"/>
          <w:bCs/>
          <w:szCs w:val="32"/>
        </w:rPr>
        <w:t>“</w:t>
      </w:r>
      <w:r w:rsidRPr="00D733E6">
        <w:rPr>
          <w:rFonts w:eastAsia="方正仿宋简体"/>
          <w:bCs/>
          <w:szCs w:val="32"/>
        </w:rPr>
        <w:t>创新强校工程</w:t>
      </w:r>
      <w:r w:rsidRPr="00D733E6">
        <w:rPr>
          <w:rFonts w:eastAsia="方正仿宋简体"/>
          <w:bCs/>
          <w:szCs w:val="32"/>
        </w:rPr>
        <w:t>”</w:t>
      </w:r>
      <w:r w:rsidRPr="00D733E6">
        <w:rPr>
          <w:rFonts w:eastAsia="方正仿宋简体"/>
          <w:bCs/>
          <w:szCs w:val="32"/>
        </w:rPr>
        <w:t>项目等参照校级科研项目管理。</w:t>
      </w:r>
    </w:p>
    <w:p w:rsidR="00156962" w:rsidRPr="00D733E6" w:rsidRDefault="00D733E6">
      <w:pPr>
        <w:pStyle w:val="3"/>
        <w:widowControl w:val="0"/>
        <w:spacing w:line="570" w:lineRule="exact"/>
        <w:ind w:firstLine="640"/>
        <w:jc w:val="both"/>
        <w:rPr>
          <w:rFonts w:ascii="黑体" w:eastAsia="黑体" w:hAnsi="黑体"/>
          <w:b w:val="0"/>
          <w:bCs/>
          <w:szCs w:val="32"/>
        </w:rPr>
      </w:pPr>
      <w:r w:rsidRPr="00D733E6">
        <w:rPr>
          <w:rFonts w:ascii="黑体" w:eastAsia="黑体" w:hAnsi="黑体" w:hint="eastAsia"/>
          <w:b w:val="0"/>
          <w:bCs/>
          <w:szCs w:val="32"/>
        </w:rPr>
        <w:t>四</w:t>
      </w:r>
      <w:r w:rsidRPr="00D733E6">
        <w:rPr>
          <w:rFonts w:ascii="黑体" w:eastAsia="黑体" w:hAnsi="黑体" w:hint="eastAsia"/>
          <w:b w:val="0"/>
          <w:bCs/>
          <w:szCs w:val="32"/>
        </w:rPr>
        <w:t>、专业技术业绩计分说明</w:t>
      </w:r>
    </w:p>
    <w:p w:rsidR="00156962" w:rsidRPr="00D733E6" w:rsidRDefault="00D733E6">
      <w:pPr>
        <w:adjustRightInd w:val="0"/>
        <w:spacing w:line="600" w:lineRule="exact"/>
        <w:ind w:firstLineChars="200" w:firstLine="640"/>
        <w:contextualSpacing/>
        <w:jc w:val="left"/>
        <w:rPr>
          <w:rFonts w:ascii="仿宋_GB2312" w:eastAsia="仿宋_GB2312"/>
          <w:kern w:val="0"/>
          <w:sz w:val="32"/>
          <w:szCs w:val="32"/>
        </w:rPr>
      </w:pPr>
      <w:r w:rsidRPr="00D733E6">
        <w:rPr>
          <w:rFonts w:ascii="仿宋_GB2312" w:eastAsia="仿宋_GB2312" w:hint="eastAsia"/>
          <w:kern w:val="0"/>
          <w:sz w:val="32"/>
          <w:szCs w:val="32"/>
        </w:rPr>
        <w:t>（一）各级各类项目排名，第</w:t>
      </w:r>
      <w:r w:rsidRPr="00D733E6">
        <w:rPr>
          <w:rFonts w:ascii="仿宋_GB2312" w:eastAsia="仿宋_GB2312" w:hint="eastAsia"/>
          <w:kern w:val="0"/>
          <w:sz w:val="32"/>
          <w:szCs w:val="32"/>
        </w:rPr>
        <w:t>1</w:t>
      </w:r>
      <w:r w:rsidRPr="00D733E6">
        <w:rPr>
          <w:rFonts w:ascii="仿宋_GB2312" w:eastAsia="仿宋_GB2312" w:hint="eastAsia"/>
          <w:kern w:val="0"/>
          <w:sz w:val="32"/>
          <w:szCs w:val="32"/>
        </w:rPr>
        <w:t>名均为项目负责人；各级各类项目负责人均为第一负责人；各级各类奖项的第一位获奖人均为该奖项的项目负责人；各级各类成果的第一位完成人均为该成果的项目负</w:t>
      </w:r>
      <w:r w:rsidRPr="00D733E6">
        <w:rPr>
          <w:rFonts w:ascii="仿宋_GB2312" w:eastAsia="仿宋_GB2312" w:hint="eastAsia"/>
          <w:kern w:val="0"/>
          <w:sz w:val="32"/>
          <w:szCs w:val="32"/>
        </w:rPr>
        <w:t>责人。</w:t>
      </w:r>
    </w:p>
    <w:p w:rsidR="00156962" w:rsidRPr="00D733E6" w:rsidRDefault="00D733E6">
      <w:pPr>
        <w:pStyle w:val="3"/>
        <w:widowControl w:val="0"/>
        <w:spacing w:line="570" w:lineRule="exact"/>
        <w:ind w:firstLine="640"/>
        <w:rPr>
          <w:rFonts w:ascii="仿宋_GB2312" w:eastAsia="仿宋_GB2312" w:hAnsiTheme="minorHAnsi" w:cstheme="minorBidi"/>
          <w:b w:val="0"/>
          <w:kern w:val="0"/>
          <w:szCs w:val="32"/>
        </w:rPr>
      </w:pPr>
      <w:r w:rsidRPr="00D733E6">
        <w:rPr>
          <w:rFonts w:ascii="仿宋_GB2312" w:eastAsia="仿宋_GB2312" w:hAnsiTheme="minorHAnsi" w:cstheme="minorBidi" w:hint="eastAsia"/>
          <w:b w:val="0"/>
          <w:kern w:val="0"/>
          <w:szCs w:val="32"/>
        </w:rPr>
        <w:t>（二）个人完成的项目（或奖项），个人获取全部业绩。</w:t>
      </w:r>
    </w:p>
    <w:p w:rsidR="00156962" w:rsidRPr="00D733E6" w:rsidRDefault="00D733E6">
      <w:pPr>
        <w:adjustRightInd w:val="0"/>
        <w:spacing w:line="600" w:lineRule="exact"/>
        <w:ind w:firstLineChars="200" w:firstLine="640"/>
        <w:contextualSpacing/>
        <w:jc w:val="left"/>
        <w:rPr>
          <w:rFonts w:ascii="仿宋_GB2312" w:eastAsia="仿宋_GB2312"/>
          <w:kern w:val="0"/>
          <w:sz w:val="32"/>
          <w:szCs w:val="32"/>
        </w:rPr>
      </w:pPr>
      <w:r w:rsidRPr="00D733E6">
        <w:rPr>
          <w:rFonts w:ascii="仿宋_GB2312" w:eastAsia="仿宋_GB2312" w:hint="eastAsia"/>
          <w:kern w:val="0"/>
          <w:sz w:val="32"/>
          <w:szCs w:val="32"/>
        </w:rPr>
        <w:t>（三）团体完成的项目（或奖项），</w:t>
      </w:r>
      <w:proofErr w:type="gramStart"/>
      <w:r w:rsidRPr="00D733E6">
        <w:rPr>
          <w:rFonts w:ascii="仿宋_GB2312" w:eastAsia="仿宋_GB2312" w:hint="eastAsia"/>
          <w:kern w:val="0"/>
          <w:sz w:val="32"/>
          <w:szCs w:val="32"/>
        </w:rPr>
        <w:t>业绩赋分由</w:t>
      </w:r>
      <w:proofErr w:type="gramEnd"/>
      <w:r w:rsidRPr="00D733E6">
        <w:rPr>
          <w:rFonts w:ascii="仿宋_GB2312" w:eastAsia="仿宋_GB2312" w:hint="eastAsia"/>
          <w:kern w:val="0"/>
          <w:sz w:val="32"/>
          <w:szCs w:val="32"/>
        </w:rPr>
        <w:t>项目（或奖项）的负责人按照各参与人实际贡献大小拟定分配方案、填写《汕头职业技术学院突出业绩登记表》，由所在院（系</w:t>
      </w:r>
      <w:r w:rsidRPr="00D733E6">
        <w:rPr>
          <w:rFonts w:ascii="仿宋_GB2312" w:eastAsia="仿宋_GB2312" w:hint="eastAsia"/>
          <w:kern w:val="0"/>
          <w:sz w:val="32"/>
          <w:szCs w:val="32"/>
        </w:rPr>
        <w:t>/</w:t>
      </w:r>
      <w:r w:rsidRPr="00D733E6">
        <w:rPr>
          <w:rFonts w:ascii="仿宋_GB2312" w:eastAsia="仿宋_GB2312" w:hint="eastAsia"/>
          <w:kern w:val="0"/>
          <w:sz w:val="32"/>
          <w:szCs w:val="32"/>
        </w:rPr>
        <w:t>部）、职能部门审定。</w:t>
      </w:r>
    </w:p>
    <w:p w:rsidR="00156962" w:rsidRPr="00D733E6" w:rsidRDefault="00D733E6">
      <w:pPr>
        <w:adjustRightInd w:val="0"/>
        <w:spacing w:line="600" w:lineRule="exact"/>
        <w:ind w:firstLineChars="200" w:firstLine="640"/>
        <w:contextualSpacing/>
        <w:jc w:val="left"/>
        <w:rPr>
          <w:rFonts w:ascii="仿宋_GB2312" w:eastAsia="仿宋_GB2312"/>
          <w:kern w:val="0"/>
          <w:sz w:val="32"/>
          <w:szCs w:val="32"/>
        </w:rPr>
      </w:pPr>
      <w:r w:rsidRPr="00D733E6">
        <w:rPr>
          <w:rFonts w:ascii="仿宋_GB2312" w:eastAsia="仿宋_GB2312" w:hint="eastAsia"/>
          <w:kern w:val="0"/>
          <w:sz w:val="32"/>
          <w:szCs w:val="32"/>
        </w:rPr>
        <w:t>（四）合作完成的项目（或奖项），第一完成人非我院在岗在编教职工，且项目业绩（或奖项）署名“汕头职业技术学院”，按以下标准计算业绩：如我院为第二署名单位的按照标准的</w:t>
      </w:r>
      <w:r w:rsidRPr="00D733E6">
        <w:rPr>
          <w:rFonts w:ascii="仿宋_GB2312" w:eastAsia="仿宋_GB2312" w:hint="eastAsia"/>
          <w:kern w:val="0"/>
          <w:sz w:val="32"/>
          <w:szCs w:val="32"/>
        </w:rPr>
        <w:t>40%</w:t>
      </w:r>
      <w:r w:rsidRPr="00D733E6">
        <w:rPr>
          <w:rFonts w:ascii="仿宋_GB2312" w:eastAsia="仿宋_GB2312" w:hint="eastAsia"/>
          <w:kern w:val="0"/>
          <w:sz w:val="32"/>
          <w:szCs w:val="32"/>
        </w:rPr>
        <w:t>计算业绩；如我院为第三署名单位的按照标准的</w:t>
      </w:r>
      <w:r w:rsidRPr="00D733E6">
        <w:rPr>
          <w:rFonts w:ascii="仿宋_GB2312" w:eastAsia="仿宋_GB2312" w:hint="eastAsia"/>
          <w:kern w:val="0"/>
          <w:sz w:val="32"/>
          <w:szCs w:val="32"/>
        </w:rPr>
        <w:t>30%</w:t>
      </w:r>
      <w:r w:rsidRPr="00D733E6">
        <w:rPr>
          <w:rFonts w:ascii="仿宋_GB2312" w:eastAsia="仿宋_GB2312" w:hint="eastAsia"/>
          <w:kern w:val="0"/>
          <w:sz w:val="32"/>
          <w:szCs w:val="32"/>
        </w:rPr>
        <w:t>计算业绩；如我院为第四署名单位的按照标准的</w:t>
      </w:r>
      <w:r w:rsidRPr="00D733E6">
        <w:rPr>
          <w:rFonts w:ascii="仿宋_GB2312" w:eastAsia="仿宋_GB2312" w:hint="eastAsia"/>
          <w:kern w:val="0"/>
          <w:sz w:val="32"/>
          <w:szCs w:val="32"/>
        </w:rPr>
        <w:t>20%</w:t>
      </w:r>
      <w:r w:rsidRPr="00D733E6">
        <w:rPr>
          <w:rFonts w:ascii="仿宋_GB2312" w:eastAsia="仿宋_GB2312" w:hint="eastAsia"/>
          <w:kern w:val="0"/>
          <w:sz w:val="32"/>
          <w:szCs w:val="32"/>
        </w:rPr>
        <w:t>计算业绩；如我院为第五署名单位的按照标准的</w:t>
      </w:r>
      <w:r w:rsidRPr="00D733E6">
        <w:rPr>
          <w:rFonts w:ascii="仿宋_GB2312" w:eastAsia="仿宋_GB2312" w:hint="eastAsia"/>
          <w:kern w:val="0"/>
          <w:sz w:val="32"/>
          <w:szCs w:val="32"/>
        </w:rPr>
        <w:t>10%</w:t>
      </w:r>
      <w:r w:rsidRPr="00D733E6">
        <w:rPr>
          <w:rFonts w:ascii="仿宋_GB2312" w:eastAsia="仿宋_GB2312" w:hint="eastAsia"/>
          <w:kern w:val="0"/>
          <w:sz w:val="32"/>
          <w:szCs w:val="32"/>
        </w:rPr>
        <w:t>计算业绩。由我院排名最前合作者拟定业绩分配方案、填写《汕头职业技术学院突出业绩奖励登记表》，由其所在院（系</w:t>
      </w:r>
      <w:r w:rsidRPr="00D733E6">
        <w:rPr>
          <w:rFonts w:ascii="仿宋_GB2312" w:eastAsia="仿宋_GB2312" w:hint="eastAsia"/>
          <w:kern w:val="0"/>
          <w:sz w:val="32"/>
          <w:szCs w:val="32"/>
        </w:rPr>
        <w:t>/</w:t>
      </w:r>
      <w:r w:rsidRPr="00D733E6">
        <w:rPr>
          <w:rFonts w:ascii="仿宋_GB2312" w:eastAsia="仿宋_GB2312" w:hint="eastAsia"/>
          <w:kern w:val="0"/>
          <w:sz w:val="32"/>
          <w:szCs w:val="32"/>
        </w:rPr>
        <w:t>部）、职能部门审定。</w:t>
      </w:r>
    </w:p>
    <w:p w:rsidR="00156962" w:rsidRPr="00D733E6" w:rsidRDefault="00D733E6">
      <w:pPr>
        <w:adjustRightInd w:val="0"/>
        <w:spacing w:line="600" w:lineRule="exact"/>
        <w:ind w:firstLineChars="200" w:firstLine="640"/>
        <w:contextualSpacing/>
        <w:jc w:val="left"/>
        <w:rPr>
          <w:rFonts w:ascii="仿宋_GB2312" w:eastAsia="仿宋_GB2312"/>
          <w:kern w:val="0"/>
          <w:sz w:val="32"/>
          <w:szCs w:val="32"/>
        </w:rPr>
      </w:pPr>
      <w:r w:rsidRPr="00D733E6">
        <w:rPr>
          <w:rFonts w:ascii="仿宋_GB2312" w:eastAsia="仿宋_GB2312" w:hint="eastAsia"/>
          <w:kern w:val="0"/>
          <w:sz w:val="32"/>
          <w:szCs w:val="32"/>
        </w:rPr>
        <w:t>（五）学校建设和专业群项目可将</w:t>
      </w:r>
      <w:proofErr w:type="gramStart"/>
      <w:r w:rsidRPr="00D733E6">
        <w:rPr>
          <w:rFonts w:ascii="仿宋_GB2312" w:eastAsia="仿宋_GB2312" w:hint="eastAsia"/>
          <w:kern w:val="0"/>
          <w:sz w:val="32"/>
          <w:szCs w:val="32"/>
        </w:rPr>
        <w:t>总业绩</w:t>
      </w:r>
      <w:proofErr w:type="gramEnd"/>
      <w:r w:rsidRPr="00D733E6">
        <w:rPr>
          <w:rFonts w:ascii="仿宋_GB2312" w:eastAsia="仿宋_GB2312" w:hint="eastAsia"/>
          <w:kern w:val="0"/>
          <w:sz w:val="32"/>
          <w:szCs w:val="32"/>
        </w:rPr>
        <w:t>按建设周期进行年均分配；其他项目业</w:t>
      </w:r>
      <w:r w:rsidRPr="00D733E6">
        <w:rPr>
          <w:rFonts w:ascii="仿宋_GB2312" w:eastAsia="仿宋_GB2312" w:hint="eastAsia"/>
          <w:kern w:val="0"/>
          <w:sz w:val="32"/>
          <w:szCs w:val="32"/>
        </w:rPr>
        <w:t>绩计算可分年度计算，立项年业绩</w:t>
      </w:r>
      <w:proofErr w:type="gramStart"/>
      <w:r w:rsidRPr="00D733E6">
        <w:rPr>
          <w:rFonts w:ascii="仿宋_GB2312" w:eastAsia="仿宋_GB2312" w:hint="eastAsia"/>
          <w:kern w:val="0"/>
          <w:sz w:val="32"/>
          <w:szCs w:val="32"/>
        </w:rPr>
        <w:lastRenderedPageBreak/>
        <w:t>计算占</w:t>
      </w:r>
      <w:proofErr w:type="gramEnd"/>
      <w:r w:rsidRPr="00D733E6">
        <w:rPr>
          <w:rFonts w:ascii="仿宋_GB2312" w:eastAsia="仿宋_GB2312" w:hint="eastAsia"/>
          <w:kern w:val="0"/>
          <w:sz w:val="32"/>
          <w:szCs w:val="32"/>
        </w:rPr>
        <w:t>比不高于项目</w:t>
      </w:r>
      <w:proofErr w:type="gramStart"/>
      <w:r w:rsidRPr="00D733E6">
        <w:rPr>
          <w:rFonts w:ascii="仿宋_GB2312" w:eastAsia="仿宋_GB2312" w:hint="eastAsia"/>
          <w:kern w:val="0"/>
          <w:sz w:val="32"/>
          <w:szCs w:val="32"/>
        </w:rPr>
        <w:t>总业绩</w:t>
      </w:r>
      <w:proofErr w:type="gramEnd"/>
      <w:r w:rsidRPr="00D733E6">
        <w:rPr>
          <w:rFonts w:ascii="仿宋_GB2312" w:eastAsia="仿宋_GB2312" w:hint="eastAsia"/>
          <w:kern w:val="0"/>
          <w:sz w:val="32"/>
          <w:szCs w:val="32"/>
        </w:rPr>
        <w:t>30%</w:t>
      </w:r>
      <w:r w:rsidRPr="00D733E6">
        <w:rPr>
          <w:rFonts w:ascii="仿宋_GB2312" w:eastAsia="仿宋_GB2312" w:hint="eastAsia"/>
          <w:kern w:val="0"/>
          <w:sz w:val="32"/>
          <w:szCs w:val="32"/>
        </w:rPr>
        <w:t>，</w:t>
      </w:r>
      <w:proofErr w:type="gramStart"/>
      <w:r w:rsidRPr="00D733E6">
        <w:rPr>
          <w:rFonts w:ascii="仿宋_GB2312" w:eastAsia="仿宋_GB2312" w:hint="eastAsia"/>
          <w:kern w:val="0"/>
          <w:sz w:val="32"/>
          <w:szCs w:val="32"/>
        </w:rPr>
        <w:t>结项年业绩计算占</w:t>
      </w:r>
      <w:proofErr w:type="gramEnd"/>
      <w:r w:rsidRPr="00D733E6">
        <w:rPr>
          <w:rFonts w:ascii="仿宋_GB2312" w:eastAsia="仿宋_GB2312" w:hint="eastAsia"/>
          <w:kern w:val="0"/>
          <w:sz w:val="32"/>
          <w:szCs w:val="32"/>
        </w:rPr>
        <w:t>比不低于项目</w:t>
      </w:r>
      <w:proofErr w:type="gramStart"/>
      <w:r w:rsidRPr="00D733E6">
        <w:rPr>
          <w:rFonts w:ascii="仿宋_GB2312" w:eastAsia="仿宋_GB2312" w:hint="eastAsia"/>
          <w:kern w:val="0"/>
          <w:sz w:val="32"/>
          <w:szCs w:val="32"/>
        </w:rPr>
        <w:t>总业绩</w:t>
      </w:r>
      <w:proofErr w:type="gramEnd"/>
      <w:r w:rsidRPr="00D733E6">
        <w:rPr>
          <w:rFonts w:ascii="仿宋_GB2312" w:eastAsia="仿宋_GB2312" w:hint="eastAsia"/>
          <w:kern w:val="0"/>
          <w:sz w:val="32"/>
          <w:szCs w:val="32"/>
        </w:rPr>
        <w:t>的</w:t>
      </w:r>
      <w:r w:rsidRPr="00D733E6">
        <w:rPr>
          <w:rFonts w:ascii="仿宋_GB2312" w:eastAsia="仿宋_GB2312" w:hint="eastAsia"/>
          <w:kern w:val="0"/>
          <w:sz w:val="32"/>
          <w:szCs w:val="32"/>
        </w:rPr>
        <w:t>40%</w:t>
      </w:r>
      <w:r w:rsidRPr="00D733E6">
        <w:rPr>
          <w:rFonts w:ascii="仿宋_GB2312" w:eastAsia="仿宋_GB2312" w:hint="eastAsia"/>
          <w:kern w:val="0"/>
          <w:sz w:val="32"/>
          <w:szCs w:val="32"/>
        </w:rPr>
        <w:t>；奖项类一次性分配业绩。</w:t>
      </w:r>
    </w:p>
    <w:p w:rsidR="00156962" w:rsidRPr="00D733E6" w:rsidRDefault="00D733E6">
      <w:pPr>
        <w:adjustRightInd w:val="0"/>
        <w:spacing w:line="600" w:lineRule="exact"/>
        <w:ind w:firstLineChars="200" w:firstLine="640"/>
        <w:contextualSpacing/>
        <w:jc w:val="left"/>
        <w:rPr>
          <w:rFonts w:ascii="仿宋_GB2312" w:eastAsia="仿宋_GB2312"/>
          <w:kern w:val="0"/>
          <w:sz w:val="32"/>
          <w:szCs w:val="32"/>
        </w:rPr>
      </w:pPr>
      <w:r w:rsidRPr="00D733E6">
        <w:rPr>
          <w:rFonts w:ascii="仿宋_GB2312" w:eastAsia="仿宋_GB2312" w:hint="eastAsia"/>
          <w:kern w:val="0"/>
          <w:sz w:val="32"/>
          <w:szCs w:val="32"/>
        </w:rPr>
        <w:t>（六）同一成果只按最高标准计算一次；已计算业绩的成果再次获奖，按最高奖奖励标准补齐差额；</w:t>
      </w:r>
    </w:p>
    <w:p w:rsidR="00156962" w:rsidRPr="00D733E6" w:rsidRDefault="00D733E6">
      <w:pPr>
        <w:pStyle w:val="a4"/>
        <w:widowControl w:val="0"/>
        <w:adjustRightInd w:val="0"/>
        <w:snapToGrid w:val="0"/>
        <w:spacing w:line="570" w:lineRule="exact"/>
        <w:jc w:val="both"/>
        <w:rPr>
          <w:rFonts w:ascii="仿宋_GB2312" w:eastAsia="仿宋_GB2312" w:hAnsiTheme="minorHAnsi" w:cstheme="minorBidi"/>
          <w:kern w:val="0"/>
          <w:szCs w:val="32"/>
        </w:rPr>
      </w:pPr>
      <w:r w:rsidRPr="00D733E6">
        <w:rPr>
          <w:rFonts w:ascii="仿宋_GB2312" w:eastAsia="仿宋_GB2312" w:hAnsiTheme="minorHAnsi" w:cstheme="minorBidi" w:hint="eastAsia"/>
          <w:kern w:val="0"/>
          <w:szCs w:val="32"/>
        </w:rPr>
        <w:t>（七）</w:t>
      </w:r>
      <w:r w:rsidRPr="00D733E6">
        <w:rPr>
          <w:rFonts w:ascii="仿宋_GB2312" w:eastAsia="仿宋_GB2312" w:hAnsiTheme="minorHAnsi" w:cstheme="minorBidi"/>
          <w:kern w:val="0"/>
          <w:szCs w:val="32"/>
        </w:rPr>
        <w:t>课时量计算。</w:t>
      </w:r>
      <w:r w:rsidRPr="00D733E6">
        <w:rPr>
          <w:rFonts w:ascii="仿宋_GB2312" w:eastAsia="仿宋_GB2312" w:hAnsiTheme="minorHAnsi" w:cstheme="minorBidi" w:hint="eastAsia"/>
          <w:kern w:val="0"/>
          <w:szCs w:val="32"/>
        </w:rPr>
        <w:t>任现职时间超过</w:t>
      </w:r>
      <w:r w:rsidRPr="00D733E6">
        <w:rPr>
          <w:rFonts w:ascii="仿宋_GB2312" w:eastAsia="仿宋_GB2312" w:hAnsiTheme="minorHAnsi" w:cstheme="minorBidi" w:hint="eastAsia"/>
          <w:kern w:val="0"/>
          <w:szCs w:val="32"/>
        </w:rPr>
        <w:t xml:space="preserve"> 5</w:t>
      </w:r>
      <w:r w:rsidRPr="00D733E6">
        <w:rPr>
          <w:rFonts w:ascii="仿宋_GB2312" w:eastAsia="仿宋_GB2312" w:hAnsiTheme="minorHAnsi" w:cstheme="minorBidi" w:hint="eastAsia"/>
          <w:kern w:val="0"/>
          <w:szCs w:val="32"/>
        </w:rPr>
        <w:t>年的，教学工作量可按近</w:t>
      </w:r>
      <w:r w:rsidRPr="00D733E6">
        <w:rPr>
          <w:rFonts w:ascii="仿宋_GB2312" w:eastAsia="仿宋_GB2312" w:hAnsiTheme="minorHAnsi" w:cstheme="minorBidi" w:hint="eastAsia"/>
          <w:kern w:val="0"/>
          <w:szCs w:val="32"/>
        </w:rPr>
        <w:t>5</w:t>
      </w:r>
      <w:r w:rsidRPr="00D733E6">
        <w:rPr>
          <w:rFonts w:ascii="仿宋_GB2312" w:eastAsia="仿宋_GB2312" w:hAnsiTheme="minorHAnsi" w:cstheme="minorBidi" w:hint="eastAsia"/>
          <w:kern w:val="0"/>
          <w:szCs w:val="32"/>
        </w:rPr>
        <w:t>年年均课时数计分（课时量计算年度应是连续年度）；任现职以来，进入我院工作不足</w:t>
      </w:r>
      <w:r w:rsidRPr="00D733E6">
        <w:rPr>
          <w:rFonts w:ascii="仿宋_GB2312" w:eastAsia="仿宋_GB2312" w:hAnsiTheme="minorHAnsi" w:cstheme="minorBidi" w:hint="eastAsia"/>
          <w:kern w:val="0"/>
          <w:szCs w:val="32"/>
        </w:rPr>
        <w:t>5</w:t>
      </w:r>
      <w:r w:rsidRPr="00D733E6">
        <w:rPr>
          <w:rFonts w:ascii="仿宋_GB2312" w:eastAsia="仿宋_GB2312" w:hAnsiTheme="minorHAnsi" w:cstheme="minorBidi" w:hint="eastAsia"/>
          <w:kern w:val="0"/>
          <w:szCs w:val="32"/>
        </w:rPr>
        <w:t>年的，按照进入我院工作时间计算年均课时数计分；国内外访学、挂职锻炼、脱产学习培训、在职攻读学位脱产期间、援藏援疆、支教期间，</w:t>
      </w:r>
      <w:proofErr w:type="gramStart"/>
      <w:r w:rsidRPr="00D733E6">
        <w:rPr>
          <w:rFonts w:ascii="仿宋_GB2312" w:eastAsia="仿宋_GB2312" w:hAnsiTheme="minorHAnsi" w:cstheme="minorBidi" w:hint="eastAsia"/>
          <w:kern w:val="0"/>
          <w:szCs w:val="32"/>
        </w:rPr>
        <w:t>或休产假</w:t>
      </w:r>
      <w:proofErr w:type="gramEnd"/>
      <w:r w:rsidRPr="00D733E6">
        <w:rPr>
          <w:rFonts w:ascii="仿宋_GB2312" w:eastAsia="仿宋_GB2312" w:hAnsiTheme="minorHAnsi" w:cstheme="minorBidi" w:hint="eastAsia"/>
          <w:kern w:val="0"/>
          <w:szCs w:val="32"/>
        </w:rPr>
        <w:t>、因公致伤一年之内，或</w:t>
      </w:r>
      <w:proofErr w:type="gramStart"/>
      <w:r w:rsidRPr="00D733E6">
        <w:rPr>
          <w:rFonts w:ascii="仿宋_GB2312" w:eastAsia="仿宋_GB2312" w:hAnsiTheme="minorHAnsi" w:cstheme="minorBidi" w:hint="eastAsia"/>
          <w:kern w:val="0"/>
          <w:szCs w:val="32"/>
        </w:rPr>
        <w:t>因病半年</w:t>
      </w:r>
      <w:proofErr w:type="gramEnd"/>
      <w:r w:rsidRPr="00D733E6">
        <w:rPr>
          <w:rFonts w:ascii="仿宋_GB2312" w:eastAsia="仿宋_GB2312" w:hAnsiTheme="minorHAnsi" w:cstheme="minorBidi" w:hint="eastAsia"/>
          <w:kern w:val="0"/>
          <w:szCs w:val="32"/>
        </w:rPr>
        <w:t>之内，可按实际教学时段计算年均课时数计分。</w:t>
      </w:r>
      <w:proofErr w:type="gramStart"/>
      <w:r w:rsidRPr="00D733E6">
        <w:rPr>
          <w:rFonts w:ascii="仿宋_GB2312" w:eastAsia="仿宋_GB2312" w:hAnsiTheme="minorHAnsi" w:cstheme="minorBidi" w:hint="eastAsia"/>
          <w:kern w:val="0"/>
          <w:szCs w:val="32"/>
        </w:rPr>
        <w:t>因岗位</w:t>
      </w:r>
      <w:proofErr w:type="gramEnd"/>
      <w:r w:rsidRPr="00D733E6">
        <w:rPr>
          <w:rFonts w:ascii="仿宋_GB2312" w:eastAsia="仿宋_GB2312" w:hAnsiTheme="minorHAnsi" w:cstheme="minorBidi" w:hint="eastAsia"/>
          <w:kern w:val="0"/>
          <w:szCs w:val="32"/>
        </w:rPr>
        <w:t>或职务变动，相应时段教学工作量按不同标准分开计算，最后折算平均分。</w:t>
      </w:r>
      <w:r w:rsidRPr="00D733E6">
        <w:rPr>
          <w:rFonts w:ascii="仿宋_GB2312" w:eastAsia="仿宋_GB2312" w:hAnsiTheme="minorHAnsi" w:cstheme="minorBidi" w:hint="eastAsia"/>
          <w:kern w:val="0"/>
          <w:szCs w:val="32"/>
        </w:rPr>
        <w:t xml:space="preserve"> </w:t>
      </w:r>
    </w:p>
    <w:p w:rsidR="00156962" w:rsidRPr="00D733E6" w:rsidRDefault="00D733E6">
      <w:pPr>
        <w:pStyle w:val="a4"/>
        <w:adjustRightInd w:val="0"/>
        <w:snapToGrid w:val="0"/>
        <w:spacing w:line="570" w:lineRule="exact"/>
        <w:rPr>
          <w:rFonts w:eastAsia="方正仿宋简体"/>
          <w:bCs/>
          <w:szCs w:val="32"/>
        </w:rPr>
      </w:pPr>
      <w:r w:rsidRPr="00D733E6">
        <w:rPr>
          <w:rFonts w:eastAsia="方正仿宋简体" w:hint="eastAsia"/>
          <w:bCs/>
          <w:szCs w:val="32"/>
        </w:rPr>
        <w:t>（</w:t>
      </w:r>
      <w:r w:rsidRPr="00D733E6">
        <w:rPr>
          <w:rFonts w:eastAsia="方正仿宋简体" w:hint="eastAsia"/>
          <w:bCs/>
          <w:szCs w:val="32"/>
        </w:rPr>
        <w:t>九</w:t>
      </w:r>
      <w:r w:rsidRPr="00D733E6">
        <w:rPr>
          <w:rFonts w:eastAsia="方正仿宋简体" w:hint="eastAsia"/>
          <w:bCs/>
          <w:szCs w:val="32"/>
        </w:rPr>
        <w:t>）代表性成果完成人须为我院在职在编教职工，成果署名第一单位应为申报人所在工作单位，提交评议组评议的</w:t>
      </w:r>
      <w:r w:rsidRPr="00D733E6">
        <w:rPr>
          <w:rFonts w:eastAsia="方正仿宋简体" w:hint="eastAsia"/>
          <w:bCs/>
          <w:szCs w:val="32"/>
        </w:rPr>
        <w:t>2</w:t>
      </w:r>
      <w:r w:rsidRPr="00D733E6">
        <w:rPr>
          <w:rFonts w:eastAsia="方正仿宋简体" w:hint="eastAsia"/>
          <w:bCs/>
          <w:szCs w:val="32"/>
        </w:rPr>
        <w:t>项代表性成果中不少于</w:t>
      </w:r>
      <w:r w:rsidRPr="00D733E6">
        <w:rPr>
          <w:rFonts w:eastAsia="方正仿宋简体" w:hint="eastAsia"/>
          <w:bCs/>
          <w:szCs w:val="32"/>
        </w:rPr>
        <w:t>1</w:t>
      </w:r>
      <w:r w:rsidRPr="00D733E6">
        <w:rPr>
          <w:rFonts w:eastAsia="方正仿宋简体" w:hint="eastAsia"/>
          <w:bCs/>
          <w:szCs w:val="32"/>
        </w:rPr>
        <w:t>项署名为“汕头职业技术学院”。</w:t>
      </w:r>
    </w:p>
    <w:p w:rsidR="00156962" w:rsidRPr="00D733E6" w:rsidRDefault="00D733E6">
      <w:pPr>
        <w:pStyle w:val="a4"/>
        <w:adjustRightInd w:val="0"/>
        <w:snapToGrid w:val="0"/>
        <w:spacing w:line="570" w:lineRule="exact"/>
        <w:rPr>
          <w:rFonts w:eastAsia="方正仿宋简体"/>
          <w:bCs/>
          <w:szCs w:val="32"/>
        </w:rPr>
      </w:pPr>
      <w:r w:rsidRPr="00D733E6">
        <w:rPr>
          <w:rFonts w:eastAsia="方正仿宋简体" w:hint="eastAsia"/>
          <w:bCs/>
          <w:szCs w:val="32"/>
        </w:rPr>
        <w:t>（</w:t>
      </w:r>
      <w:r w:rsidRPr="00D733E6">
        <w:rPr>
          <w:rFonts w:eastAsia="方正仿宋简体" w:hint="eastAsia"/>
          <w:bCs/>
          <w:szCs w:val="32"/>
        </w:rPr>
        <w:t>十</w:t>
      </w:r>
      <w:r w:rsidRPr="00D733E6">
        <w:rPr>
          <w:rFonts w:eastAsia="方正仿宋简体" w:hint="eastAsia"/>
          <w:bCs/>
          <w:szCs w:val="32"/>
        </w:rPr>
        <w:t>）</w:t>
      </w:r>
      <w:r w:rsidRPr="00D733E6">
        <w:rPr>
          <w:rFonts w:eastAsia="方正仿宋简体" w:hint="eastAsia"/>
          <w:bCs/>
          <w:szCs w:val="32"/>
        </w:rPr>
        <w:t>学校建设、专业（群）建设、教学条件和资源建设、</w:t>
      </w:r>
      <w:r w:rsidRPr="00D733E6">
        <w:rPr>
          <w:rFonts w:eastAsia="方正仿宋简体" w:hint="eastAsia"/>
          <w:bCs/>
          <w:szCs w:val="32"/>
        </w:rPr>
        <w:t>指导</w:t>
      </w:r>
      <w:r w:rsidRPr="00D733E6">
        <w:rPr>
          <w:rFonts w:eastAsia="方正仿宋简体" w:hint="eastAsia"/>
          <w:bCs/>
          <w:szCs w:val="32"/>
        </w:rPr>
        <w:t>学生</w:t>
      </w:r>
      <w:r w:rsidRPr="00D733E6">
        <w:rPr>
          <w:rFonts w:eastAsia="方正仿宋简体" w:hint="eastAsia"/>
          <w:bCs/>
          <w:szCs w:val="32"/>
        </w:rPr>
        <w:t>等</w:t>
      </w:r>
      <w:r w:rsidRPr="00D733E6">
        <w:rPr>
          <w:rFonts w:eastAsia="方正仿宋简体" w:hint="eastAsia"/>
          <w:bCs/>
          <w:szCs w:val="32"/>
        </w:rPr>
        <w:t>教育教学</w:t>
      </w:r>
      <w:proofErr w:type="gramStart"/>
      <w:r w:rsidRPr="00D733E6">
        <w:rPr>
          <w:rFonts w:eastAsia="方正仿宋简体" w:hint="eastAsia"/>
          <w:bCs/>
          <w:szCs w:val="32"/>
        </w:rPr>
        <w:t>类业绩</w:t>
      </w:r>
      <w:proofErr w:type="gramEnd"/>
      <w:r w:rsidRPr="00D733E6">
        <w:rPr>
          <w:rFonts w:eastAsia="方正仿宋简体" w:hint="eastAsia"/>
          <w:bCs/>
          <w:szCs w:val="32"/>
        </w:rPr>
        <w:t>中</w:t>
      </w:r>
      <w:r w:rsidRPr="00D733E6">
        <w:rPr>
          <w:rFonts w:eastAsia="方正仿宋简体" w:hint="eastAsia"/>
          <w:bCs/>
          <w:szCs w:val="32"/>
        </w:rPr>
        <w:t>完成人需为我院在职在编教职工，成果署名第一单位应为“汕头职业技术学院”</w:t>
      </w:r>
      <w:r w:rsidRPr="00D733E6">
        <w:rPr>
          <w:rFonts w:eastAsia="方正仿宋简体" w:hint="eastAsia"/>
          <w:bCs/>
          <w:szCs w:val="32"/>
        </w:rPr>
        <w:t>。我院在职在编教职工在进入我院工作之前的单位获得其他业绩在进行赋分时，业绩分配系</w:t>
      </w:r>
      <w:r w:rsidRPr="00D733E6">
        <w:rPr>
          <w:rFonts w:eastAsia="方正仿宋简体" w:hint="eastAsia"/>
          <w:bCs/>
          <w:szCs w:val="32"/>
        </w:rPr>
        <w:t>数不能超过《各类项目成果排名次序系数表》中的系数。</w:t>
      </w:r>
    </w:p>
    <w:p w:rsidR="00156962" w:rsidRPr="00D733E6" w:rsidRDefault="00D733E6">
      <w:pPr>
        <w:pStyle w:val="a4"/>
        <w:adjustRightInd w:val="0"/>
        <w:snapToGrid w:val="0"/>
        <w:spacing w:line="570" w:lineRule="exact"/>
        <w:rPr>
          <w:rFonts w:eastAsia="方正仿宋简体"/>
          <w:bCs/>
          <w:szCs w:val="32"/>
        </w:rPr>
      </w:pPr>
      <w:r w:rsidRPr="00D733E6">
        <w:rPr>
          <w:rFonts w:eastAsia="方正仿宋简体" w:hint="eastAsia"/>
          <w:bCs/>
          <w:szCs w:val="32"/>
        </w:rPr>
        <w:t>（</w:t>
      </w:r>
      <w:r w:rsidRPr="00D733E6">
        <w:rPr>
          <w:rFonts w:eastAsia="方正仿宋简体" w:hint="eastAsia"/>
          <w:bCs/>
          <w:szCs w:val="32"/>
        </w:rPr>
        <w:t>十一</w:t>
      </w:r>
      <w:r w:rsidRPr="00D733E6">
        <w:rPr>
          <w:rFonts w:eastAsia="方正仿宋简体" w:hint="eastAsia"/>
          <w:bCs/>
          <w:szCs w:val="32"/>
        </w:rPr>
        <w:t>）</w:t>
      </w:r>
      <w:r w:rsidRPr="00D733E6">
        <w:rPr>
          <w:rFonts w:eastAsia="方正仿宋简体" w:hint="eastAsia"/>
          <w:bCs/>
          <w:szCs w:val="32"/>
        </w:rPr>
        <w:t>涉及</w:t>
      </w:r>
      <w:r w:rsidRPr="00D733E6">
        <w:rPr>
          <w:rFonts w:eastAsia="方正仿宋简体" w:hint="eastAsia"/>
          <w:bCs/>
          <w:szCs w:val="32"/>
        </w:rPr>
        <w:t>各项业绩</w:t>
      </w:r>
      <w:proofErr w:type="gramStart"/>
      <w:r w:rsidRPr="00D733E6">
        <w:rPr>
          <w:rFonts w:eastAsia="方正仿宋简体" w:hint="eastAsia"/>
          <w:bCs/>
          <w:szCs w:val="32"/>
        </w:rPr>
        <w:t>的赋分事项</w:t>
      </w:r>
      <w:proofErr w:type="gramEnd"/>
      <w:r w:rsidRPr="00D733E6">
        <w:rPr>
          <w:rFonts w:eastAsia="方正仿宋简体" w:hint="eastAsia"/>
          <w:bCs/>
          <w:szCs w:val="32"/>
        </w:rPr>
        <w:t>由各牵头部门负责审核和解释。</w:t>
      </w:r>
    </w:p>
    <w:p w:rsidR="00156962" w:rsidRPr="00D733E6" w:rsidRDefault="00D733E6">
      <w:pPr>
        <w:pStyle w:val="a4"/>
        <w:widowControl w:val="0"/>
        <w:adjustRightInd w:val="0"/>
        <w:snapToGrid w:val="0"/>
        <w:spacing w:line="570" w:lineRule="exact"/>
        <w:jc w:val="both"/>
        <w:rPr>
          <w:rFonts w:ascii="方正黑体_GBK" w:eastAsia="方正黑体_GBK" w:hAnsiTheme="minorHAnsi" w:cs="Times New Roman"/>
          <w:szCs w:val="32"/>
        </w:rPr>
      </w:pPr>
      <w:r w:rsidRPr="00D733E6">
        <w:rPr>
          <w:rFonts w:ascii="方正黑体_GBK" w:eastAsia="方正黑体_GBK" w:hAnsiTheme="minorHAnsi" w:cs="Times New Roman" w:hint="eastAsia"/>
          <w:szCs w:val="32"/>
        </w:rPr>
        <w:t>五</w:t>
      </w:r>
      <w:r w:rsidRPr="00D733E6">
        <w:rPr>
          <w:rFonts w:ascii="方正黑体_GBK" w:eastAsia="方正黑体_GBK" w:hAnsiTheme="minorHAnsi" w:cs="Times New Roman" w:hint="eastAsia"/>
          <w:szCs w:val="32"/>
        </w:rPr>
        <w:t>、其他</w:t>
      </w:r>
    </w:p>
    <w:p w:rsidR="00156962" w:rsidRPr="00D733E6" w:rsidRDefault="00D733E6">
      <w:pPr>
        <w:pStyle w:val="a4"/>
        <w:adjustRightInd w:val="0"/>
        <w:snapToGrid w:val="0"/>
        <w:spacing w:line="570" w:lineRule="exact"/>
        <w:rPr>
          <w:rFonts w:eastAsia="方正仿宋简体"/>
          <w:bCs/>
          <w:szCs w:val="32"/>
        </w:rPr>
      </w:pPr>
      <w:r w:rsidRPr="00D733E6">
        <w:rPr>
          <w:rFonts w:eastAsia="方正仿宋简体" w:hint="eastAsia"/>
          <w:bCs/>
          <w:szCs w:val="32"/>
        </w:rPr>
        <w:lastRenderedPageBreak/>
        <w:t>（</w:t>
      </w:r>
      <w:r w:rsidRPr="00D733E6">
        <w:rPr>
          <w:rFonts w:eastAsia="方正仿宋简体" w:hint="eastAsia"/>
          <w:bCs/>
          <w:szCs w:val="32"/>
        </w:rPr>
        <w:t>一</w:t>
      </w:r>
      <w:r w:rsidRPr="00D733E6">
        <w:rPr>
          <w:rFonts w:eastAsia="方正仿宋简体" w:hint="eastAsia"/>
          <w:bCs/>
          <w:szCs w:val="32"/>
        </w:rPr>
        <w:t>）</w:t>
      </w:r>
      <w:r w:rsidRPr="00D733E6">
        <w:rPr>
          <w:rFonts w:eastAsia="方正仿宋简体" w:hint="eastAsia"/>
          <w:bCs/>
          <w:szCs w:val="32"/>
        </w:rPr>
        <w:t>职称评审制度</w:t>
      </w:r>
      <w:r w:rsidRPr="00D733E6">
        <w:rPr>
          <w:rFonts w:eastAsia="方正仿宋简体" w:hint="eastAsia"/>
          <w:bCs/>
          <w:szCs w:val="32"/>
        </w:rPr>
        <w:t>中</w:t>
      </w:r>
      <w:r w:rsidRPr="00D733E6">
        <w:rPr>
          <w:rFonts w:eastAsia="方正仿宋简体" w:hint="eastAsia"/>
          <w:bCs/>
          <w:szCs w:val="32"/>
        </w:rPr>
        <w:t>各文件</w:t>
      </w:r>
      <w:r w:rsidRPr="00D733E6">
        <w:rPr>
          <w:rFonts w:eastAsia="方正仿宋简体" w:hint="eastAsia"/>
          <w:bCs/>
          <w:szCs w:val="32"/>
        </w:rPr>
        <w:t>所称“以上”，包括本数。</w:t>
      </w:r>
    </w:p>
    <w:p w:rsidR="00156962" w:rsidRPr="00D733E6" w:rsidRDefault="00D733E6">
      <w:pPr>
        <w:pStyle w:val="a4"/>
        <w:adjustRightInd w:val="0"/>
        <w:snapToGrid w:val="0"/>
        <w:spacing w:line="570" w:lineRule="exact"/>
        <w:rPr>
          <w:rFonts w:eastAsia="方正仿宋简体"/>
          <w:bCs/>
          <w:szCs w:val="32"/>
        </w:rPr>
      </w:pPr>
      <w:r w:rsidRPr="00D733E6">
        <w:rPr>
          <w:rFonts w:eastAsia="方正仿宋简体" w:hint="eastAsia"/>
          <w:bCs/>
          <w:szCs w:val="32"/>
        </w:rPr>
        <w:t>（</w:t>
      </w:r>
      <w:r w:rsidRPr="00D733E6">
        <w:rPr>
          <w:rFonts w:eastAsia="方正仿宋简体" w:hint="eastAsia"/>
          <w:bCs/>
          <w:szCs w:val="32"/>
        </w:rPr>
        <w:t>二</w:t>
      </w:r>
      <w:r w:rsidRPr="00D733E6">
        <w:rPr>
          <w:rFonts w:eastAsia="方正仿宋简体" w:hint="eastAsia"/>
          <w:bCs/>
          <w:szCs w:val="32"/>
        </w:rPr>
        <w:t>）</w:t>
      </w:r>
      <w:r w:rsidRPr="00D733E6">
        <w:rPr>
          <w:rFonts w:eastAsia="方正仿宋简体" w:hint="eastAsia"/>
          <w:bCs/>
          <w:szCs w:val="32"/>
        </w:rPr>
        <w:t>职称评审制度中该文件</w:t>
      </w:r>
      <w:r w:rsidRPr="00D733E6">
        <w:rPr>
          <w:rFonts w:eastAsia="方正仿宋简体" w:hint="eastAsia"/>
          <w:bCs/>
          <w:szCs w:val="32"/>
        </w:rPr>
        <w:t>未尽事宜按上级文件和学校有关规定执行。本办法与上级文件、精神不一致的，以上级文件、精神为准。</w:t>
      </w:r>
    </w:p>
    <w:sectPr w:rsidR="00156962" w:rsidRPr="00D733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D8BCED6"/>
    <w:multiLevelType w:val="singleLevel"/>
    <w:tmpl w:val="DD8BCED6"/>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03B"/>
    <w:rsid w:val="0003333D"/>
    <w:rsid w:val="00067BE4"/>
    <w:rsid w:val="00072F5F"/>
    <w:rsid w:val="00100431"/>
    <w:rsid w:val="00126082"/>
    <w:rsid w:val="00156962"/>
    <w:rsid w:val="00160229"/>
    <w:rsid w:val="00201C08"/>
    <w:rsid w:val="00320C7B"/>
    <w:rsid w:val="003A287F"/>
    <w:rsid w:val="005307B8"/>
    <w:rsid w:val="00624780"/>
    <w:rsid w:val="00716986"/>
    <w:rsid w:val="00772384"/>
    <w:rsid w:val="007A3033"/>
    <w:rsid w:val="008B7377"/>
    <w:rsid w:val="008D0F08"/>
    <w:rsid w:val="00901A04"/>
    <w:rsid w:val="0093003B"/>
    <w:rsid w:val="00971B66"/>
    <w:rsid w:val="009F2C9A"/>
    <w:rsid w:val="00AE3D59"/>
    <w:rsid w:val="00B133B1"/>
    <w:rsid w:val="00B1500A"/>
    <w:rsid w:val="00B94349"/>
    <w:rsid w:val="00B95E5B"/>
    <w:rsid w:val="00B97A77"/>
    <w:rsid w:val="00BA6190"/>
    <w:rsid w:val="00C41A34"/>
    <w:rsid w:val="00C56058"/>
    <w:rsid w:val="00CC2D33"/>
    <w:rsid w:val="00D3138A"/>
    <w:rsid w:val="00D4179B"/>
    <w:rsid w:val="00D733E6"/>
    <w:rsid w:val="00DB6F3B"/>
    <w:rsid w:val="00DD6853"/>
    <w:rsid w:val="00E067CD"/>
    <w:rsid w:val="00E16F4A"/>
    <w:rsid w:val="00E225AE"/>
    <w:rsid w:val="00E611E0"/>
    <w:rsid w:val="00E839BB"/>
    <w:rsid w:val="00E94C1A"/>
    <w:rsid w:val="00FA4DA7"/>
    <w:rsid w:val="0CE90867"/>
    <w:rsid w:val="1E5A57BD"/>
    <w:rsid w:val="38AA51CC"/>
    <w:rsid w:val="3FF65A3E"/>
    <w:rsid w:val="52474D6C"/>
    <w:rsid w:val="56871F60"/>
    <w:rsid w:val="5A7B3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Indent"/>
    <w:basedOn w:val="a"/>
    <w:link w:val="Char"/>
    <w:qFormat/>
    <w:pPr>
      <w:widowControl/>
      <w:spacing w:line="560" w:lineRule="exact"/>
      <w:ind w:firstLineChars="200" w:firstLine="640"/>
      <w:jc w:val="left"/>
    </w:pPr>
    <w:rPr>
      <w:rFonts w:ascii="仿宋" w:eastAsia="仿宋" w:hAnsi="仿宋" w:cs="仿宋"/>
      <w:sz w:val="32"/>
    </w:r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正文文本缩进 Char"/>
    <w:basedOn w:val="a0"/>
    <w:link w:val="a4"/>
    <w:qFormat/>
    <w:rPr>
      <w:rFonts w:ascii="仿宋" w:eastAsia="仿宋" w:hAnsi="仿宋" w:cs="仿宋"/>
      <w:sz w:val="32"/>
    </w:rPr>
  </w:style>
  <w:style w:type="paragraph" w:customStyle="1" w:styleId="3">
    <w:name w:val="3级加粗"/>
    <w:basedOn w:val="a"/>
    <w:uiPriority w:val="99"/>
    <w:qFormat/>
    <w:pPr>
      <w:widowControl/>
      <w:spacing w:line="560" w:lineRule="exact"/>
      <w:ind w:firstLineChars="200" w:firstLine="883"/>
      <w:jc w:val="left"/>
      <w:outlineLvl w:val="2"/>
    </w:pPr>
    <w:rPr>
      <w:rFonts w:ascii="仿宋" w:eastAsia="仿宋" w:hAnsi="仿宋" w:cs="Times New Roman"/>
      <w:b/>
      <w:sz w:val="32"/>
    </w:rPr>
  </w:style>
  <w:style w:type="paragraph" w:customStyle="1" w:styleId="a8">
    <w:name w:val="（二）级"/>
    <w:basedOn w:val="a"/>
    <w:uiPriority w:val="99"/>
    <w:qFormat/>
    <w:pPr>
      <w:widowControl/>
      <w:spacing w:before="240" w:after="60" w:line="560" w:lineRule="exact"/>
      <w:ind w:firstLineChars="200" w:firstLine="883"/>
      <w:textAlignment w:val="baseline"/>
      <w:outlineLvl w:val="2"/>
    </w:pPr>
    <w:rPr>
      <w:rFonts w:ascii="Times New Roman" w:eastAsia="楷体" w:hAnsi="Times New Roman" w:cs="Times New Roman"/>
      <w:b/>
      <w:sz w:val="32"/>
      <w:szCs w:val="24"/>
    </w:rPr>
  </w:style>
  <w:style w:type="character" w:customStyle="1" w:styleId="Char0">
    <w:name w:val="批注框文本 Char"/>
    <w:basedOn w:val="a0"/>
    <w:link w:val="a5"/>
    <w:uiPriority w:val="99"/>
    <w:semiHidden/>
    <w:qFormat/>
    <w:rPr>
      <w:sz w:val="18"/>
      <w:szCs w:val="18"/>
    </w:r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Indent"/>
    <w:basedOn w:val="a"/>
    <w:link w:val="Char"/>
    <w:qFormat/>
    <w:pPr>
      <w:widowControl/>
      <w:spacing w:line="560" w:lineRule="exact"/>
      <w:ind w:firstLineChars="200" w:firstLine="640"/>
      <w:jc w:val="left"/>
    </w:pPr>
    <w:rPr>
      <w:rFonts w:ascii="仿宋" w:eastAsia="仿宋" w:hAnsi="仿宋" w:cs="仿宋"/>
      <w:sz w:val="32"/>
    </w:r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正文文本缩进 Char"/>
    <w:basedOn w:val="a0"/>
    <w:link w:val="a4"/>
    <w:qFormat/>
    <w:rPr>
      <w:rFonts w:ascii="仿宋" w:eastAsia="仿宋" w:hAnsi="仿宋" w:cs="仿宋"/>
      <w:sz w:val="32"/>
    </w:rPr>
  </w:style>
  <w:style w:type="paragraph" w:customStyle="1" w:styleId="3">
    <w:name w:val="3级加粗"/>
    <w:basedOn w:val="a"/>
    <w:uiPriority w:val="99"/>
    <w:qFormat/>
    <w:pPr>
      <w:widowControl/>
      <w:spacing w:line="560" w:lineRule="exact"/>
      <w:ind w:firstLineChars="200" w:firstLine="883"/>
      <w:jc w:val="left"/>
      <w:outlineLvl w:val="2"/>
    </w:pPr>
    <w:rPr>
      <w:rFonts w:ascii="仿宋" w:eastAsia="仿宋" w:hAnsi="仿宋" w:cs="Times New Roman"/>
      <w:b/>
      <w:sz w:val="32"/>
    </w:rPr>
  </w:style>
  <w:style w:type="paragraph" w:customStyle="1" w:styleId="a8">
    <w:name w:val="（二）级"/>
    <w:basedOn w:val="a"/>
    <w:uiPriority w:val="99"/>
    <w:qFormat/>
    <w:pPr>
      <w:widowControl/>
      <w:spacing w:before="240" w:after="60" w:line="560" w:lineRule="exact"/>
      <w:ind w:firstLineChars="200" w:firstLine="883"/>
      <w:textAlignment w:val="baseline"/>
      <w:outlineLvl w:val="2"/>
    </w:pPr>
    <w:rPr>
      <w:rFonts w:ascii="Times New Roman" w:eastAsia="楷体" w:hAnsi="Times New Roman" w:cs="Times New Roman"/>
      <w:b/>
      <w:sz w:val="32"/>
      <w:szCs w:val="24"/>
    </w:rPr>
  </w:style>
  <w:style w:type="character" w:customStyle="1" w:styleId="Char0">
    <w:name w:val="批注框文本 Char"/>
    <w:basedOn w:val="a0"/>
    <w:link w:val="a5"/>
    <w:uiPriority w:val="99"/>
    <w:semiHidden/>
    <w:qFormat/>
    <w:rPr>
      <w:sz w:val="18"/>
      <w:szCs w:val="18"/>
    </w:r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725</Words>
  <Characters>4139</Characters>
  <Application>Microsoft Office Word</Application>
  <DocSecurity>0</DocSecurity>
  <Lines>34</Lines>
  <Paragraphs>9</Paragraphs>
  <ScaleCrop>false</ScaleCrop>
  <Company>Hewlett-Packard</Company>
  <LinksUpToDate>false</LinksUpToDate>
  <CharactersWithSpaces>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大喵</dc:creator>
  <cp:lastModifiedBy>123</cp:lastModifiedBy>
  <cp:revision>11</cp:revision>
  <cp:lastPrinted>2022-03-28T03:02:00Z</cp:lastPrinted>
  <dcterms:created xsi:type="dcterms:W3CDTF">2022-03-27T09:28:00Z</dcterms:created>
  <dcterms:modified xsi:type="dcterms:W3CDTF">2022-03-31T07:42:00Z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BFD8BC1C1D52476CBF6319E9B2E4AA6E</vt:lpwstr>
  </property>
</Properties>
</file>